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F3ACD" w14:textId="354E6193" w:rsidR="0040000F" w:rsidRDefault="0040000F" w:rsidP="00B80DB8">
      <w:pPr>
        <w:tabs>
          <w:tab w:val="left" w:pos="2340"/>
        </w:tabs>
        <w:spacing w:before="60" w:after="0" w:line="240" w:lineRule="auto"/>
        <w:ind w:firstLine="2340"/>
        <w:rPr>
          <w:rStyle w:val="Strong"/>
          <w:rFonts w:ascii="Century Gothic" w:eastAsia="Times New Roman" w:hAnsi="Century Gothic" w:cs="Tahoma"/>
          <w:color w:val="595959" w:themeColor="text1" w:themeTint="A6"/>
          <w:sz w:val="30"/>
          <w:szCs w:val="30"/>
        </w:rPr>
      </w:pPr>
      <w:r w:rsidRPr="00694A52">
        <w:rPr>
          <w:noProof/>
        </w:rPr>
        <w:drawing>
          <wp:anchor distT="0" distB="0" distL="114300" distR="114300" simplePos="0" relativeHeight="251659264" behindDoc="1" locked="0" layoutInCell="1" allowOverlap="1" wp14:anchorId="1D259AD8" wp14:editId="4E829977">
            <wp:simplePos x="0" y="0"/>
            <wp:positionH relativeFrom="margin">
              <wp:posOffset>-114300</wp:posOffset>
            </wp:positionH>
            <wp:positionV relativeFrom="paragraph">
              <wp:posOffset>44450</wp:posOffset>
            </wp:positionV>
            <wp:extent cx="1466850" cy="781050"/>
            <wp:effectExtent l="0" t="0" r="0" b="0"/>
            <wp:wrapNone/>
            <wp:docPr id="3" name="Picture 3" descr="P:\Kansas MCH Council\Maternal &amp; Child Health Logos\For Print\Primary\print primary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ansas MCH Council\Maternal &amp; Child Health Logos\For Print\Primary\print primary 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7810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A699E">
        <w:rPr>
          <w:rStyle w:val="Strong"/>
          <w:rFonts w:ascii="Century Gothic" w:eastAsia="Times New Roman" w:hAnsi="Century Gothic" w:cs="Tahoma"/>
          <w:color w:val="595959" w:themeColor="text1" w:themeTint="A6"/>
          <w:sz w:val="30"/>
          <w:szCs w:val="30"/>
        </w:rPr>
        <w:t xml:space="preserve">Domain Group: </w:t>
      </w:r>
      <w:r w:rsidR="008E5DB5">
        <w:rPr>
          <w:rStyle w:val="Strong"/>
          <w:rFonts w:ascii="Century Gothic" w:eastAsia="Times New Roman" w:hAnsi="Century Gothic" w:cs="Tahoma"/>
          <w:b w:val="0"/>
          <w:color w:val="595959" w:themeColor="text1" w:themeTint="A6"/>
          <w:sz w:val="30"/>
          <w:szCs w:val="30"/>
        </w:rPr>
        <w:t>Children w/Special Health Care Needs</w:t>
      </w:r>
      <w:r w:rsidRPr="007653FA">
        <w:rPr>
          <w:rStyle w:val="Strong"/>
          <w:rFonts w:ascii="Century Gothic" w:eastAsia="Times New Roman" w:hAnsi="Century Gothic" w:cs="Tahoma"/>
          <w:color w:val="595959" w:themeColor="text1" w:themeTint="A6"/>
          <w:sz w:val="30"/>
          <w:szCs w:val="30"/>
        </w:rPr>
        <w:t xml:space="preserve"> </w:t>
      </w:r>
    </w:p>
    <w:p w14:paraId="2EEF039A" w14:textId="56FBDAD2" w:rsidR="00361484" w:rsidRPr="00FB7EF9" w:rsidRDefault="00361484" w:rsidP="00B80DB8">
      <w:pPr>
        <w:tabs>
          <w:tab w:val="left" w:pos="2340"/>
        </w:tabs>
        <w:spacing w:before="60" w:after="0" w:line="240" w:lineRule="auto"/>
        <w:rPr>
          <w:rStyle w:val="Strong"/>
          <w:rFonts w:asciiTheme="majorHAnsi" w:eastAsia="Times New Roman" w:hAnsiTheme="majorHAnsi" w:cs="Tahoma"/>
          <w:b w:val="0"/>
          <w:color w:val="808080" w:themeColor="background1" w:themeShade="80"/>
          <w:sz w:val="28"/>
          <w:szCs w:val="28"/>
        </w:rPr>
      </w:pPr>
      <w:r>
        <w:rPr>
          <w:rStyle w:val="Strong"/>
          <w:rFonts w:asciiTheme="majorHAnsi" w:eastAsia="Times New Roman" w:hAnsiTheme="majorHAnsi" w:cs="Tahoma"/>
          <w:color w:val="808080" w:themeColor="background1" w:themeShade="80"/>
          <w:sz w:val="30"/>
          <w:szCs w:val="30"/>
        </w:rPr>
        <w:tab/>
      </w:r>
      <w:r w:rsidRPr="00FB7EF9">
        <w:rPr>
          <w:rStyle w:val="Strong"/>
          <w:rFonts w:asciiTheme="majorHAnsi" w:eastAsia="Times New Roman" w:hAnsiTheme="majorHAnsi" w:cs="Tahoma"/>
          <w:color w:val="808080" w:themeColor="background1" w:themeShade="80"/>
          <w:sz w:val="28"/>
          <w:szCs w:val="28"/>
        </w:rPr>
        <w:t>Expert Guest(s):</w:t>
      </w:r>
      <w:r w:rsidR="005D0A0C" w:rsidRPr="00FB7EF9">
        <w:rPr>
          <w:rStyle w:val="Strong"/>
          <w:rFonts w:asciiTheme="majorHAnsi" w:eastAsia="Times New Roman" w:hAnsiTheme="majorHAnsi" w:cs="Tahoma"/>
          <w:color w:val="808080" w:themeColor="background1" w:themeShade="80"/>
          <w:sz w:val="28"/>
          <w:szCs w:val="28"/>
        </w:rPr>
        <w:t xml:space="preserve"> </w:t>
      </w:r>
      <w:r w:rsidR="00817BEB" w:rsidRPr="00FB7EF9">
        <w:rPr>
          <w:rStyle w:val="Strong"/>
          <w:rFonts w:asciiTheme="majorHAnsi" w:eastAsia="Times New Roman" w:hAnsiTheme="majorHAnsi" w:cs="Tahoma"/>
          <w:b w:val="0"/>
          <w:color w:val="808080" w:themeColor="background1" w:themeShade="80"/>
          <w:sz w:val="28"/>
          <w:szCs w:val="28"/>
        </w:rPr>
        <w:t xml:space="preserve">Dr. Steve Lauer, Dr. Pam Shaw, </w:t>
      </w:r>
      <w:r w:rsidR="00FB7EF9" w:rsidRPr="00FB7EF9">
        <w:rPr>
          <w:rStyle w:val="Strong"/>
          <w:rFonts w:asciiTheme="majorHAnsi" w:eastAsia="Times New Roman" w:hAnsiTheme="majorHAnsi" w:cs="Tahoma"/>
          <w:b w:val="0"/>
          <w:color w:val="808080" w:themeColor="background1" w:themeShade="80"/>
          <w:sz w:val="28"/>
          <w:szCs w:val="28"/>
        </w:rPr>
        <w:t xml:space="preserve">Julie </w:t>
      </w:r>
      <w:proofErr w:type="spellStart"/>
      <w:r w:rsidR="00FB7EF9" w:rsidRPr="00FB7EF9">
        <w:rPr>
          <w:rStyle w:val="Strong"/>
          <w:rFonts w:asciiTheme="majorHAnsi" w:eastAsia="Times New Roman" w:hAnsiTheme="majorHAnsi" w:cs="Tahoma"/>
          <w:b w:val="0"/>
          <w:color w:val="808080" w:themeColor="background1" w:themeShade="80"/>
          <w:sz w:val="28"/>
          <w:szCs w:val="28"/>
        </w:rPr>
        <w:t>Laverack</w:t>
      </w:r>
      <w:proofErr w:type="spellEnd"/>
      <w:r w:rsidR="004655B0" w:rsidRPr="00FB7EF9">
        <w:rPr>
          <w:rStyle w:val="Strong"/>
          <w:rFonts w:asciiTheme="majorHAnsi" w:eastAsia="Times New Roman" w:hAnsiTheme="majorHAnsi" w:cs="Tahoma"/>
          <w:b w:val="0"/>
          <w:color w:val="808080" w:themeColor="background1" w:themeShade="80"/>
          <w:sz w:val="28"/>
          <w:szCs w:val="28"/>
        </w:rPr>
        <w:t>,</w:t>
      </w:r>
      <w:r w:rsidR="00817BEB" w:rsidRPr="00FB7EF9">
        <w:rPr>
          <w:rStyle w:val="Strong"/>
          <w:rFonts w:asciiTheme="majorHAnsi" w:eastAsia="Times New Roman" w:hAnsiTheme="majorHAnsi" w:cs="Tahoma"/>
          <w:b w:val="0"/>
          <w:color w:val="808080" w:themeColor="background1" w:themeShade="80"/>
          <w:sz w:val="28"/>
          <w:szCs w:val="28"/>
        </w:rPr>
        <w:t xml:space="preserve"> CHC-SEKS</w:t>
      </w:r>
    </w:p>
    <w:p w14:paraId="7841559A" w14:textId="11E07416" w:rsidR="00476FBB" w:rsidRPr="00FB7EF9" w:rsidRDefault="00476FBB" w:rsidP="00B80DB8">
      <w:pPr>
        <w:tabs>
          <w:tab w:val="left" w:pos="2340"/>
        </w:tabs>
        <w:spacing w:before="60" w:after="0" w:line="240" w:lineRule="auto"/>
        <w:rPr>
          <w:rStyle w:val="Strong"/>
          <w:rFonts w:asciiTheme="majorHAnsi" w:eastAsia="Times New Roman" w:hAnsiTheme="majorHAnsi" w:cs="Tahoma"/>
          <w:b w:val="0"/>
          <w:color w:val="808080" w:themeColor="background1" w:themeShade="80"/>
          <w:sz w:val="28"/>
          <w:szCs w:val="28"/>
        </w:rPr>
      </w:pPr>
      <w:r w:rsidRPr="00FB7EF9">
        <w:rPr>
          <w:rStyle w:val="Strong"/>
          <w:rFonts w:asciiTheme="majorHAnsi" w:eastAsia="Times New Roman" w:hAnsiTheme="majorHAnsi" w:cs="Tahoma"/>
          <w:b w:val="0"/>
          <w:color w:val="808080" w:themeColor="background1" w:themeShade="80"/>
          <w:sz w:val="28"/>
          <w:szCs w:val="28"/>
        </w:rPr>
        <w:tab/>
      </w:r>
      <w:r w:rsidRPr="00FB7EF9">
        <w:rPr>
          <w:rStyle w:val="Strong"/>
          <w:rFonts w:asciiTheme="majorHAnsi" w:eastAsia="Times New Roman" w:hAnsiTheme="majorHAnsi" w:cs="Tahoma"/>
          <w:color w:val="808080" w:themeColor="background1" w:themeShade="80"/>
          <w:sz w:val="28"/>
          <w:szCs w:val="28"/>
        </w:rPr>
        <w:t>Lead Staff:</w:t>
      </w:r>
      <w:r w:rsidRPr="00FB7EF9">
        <w:rPr>
          <w:rStyle w:val="Strong"/>
          <w:rFonts w:asciiTheme="majorHAnsi" w:eastAsia="Times New Roman" w:hAnsiTheme="majorHAnsi" w:cs="Tahoma"/>
          <w:b w:val="0"/>
          <w:color w:val="808080" w:themeColor="background1" w:themeShade="80"/>
          <w:sz w:val="28"/>
          <w:szCs w:val="28"/>
        </w:rPr>
        <w:t xml:space="preserve"> </w:t>
      </w:r>
      <w:r w:rsidR="008E5DB5" w:rsidRPr="00FB7EF9">
        <w:rPr>
          <w:rStyle w:val="Strong"/>
          <w:rFonts w:asciiTheme="majorHAnsi" w:eastAsia="Times New Roman" w:hAnsiTheme="majorHAnsi" w:cs="Tahoma"/>
          <w:b w:val="0"/>
          <w:color w:val="808080" w:themeColor="background1" w:themeShade="80"/>
          <w:sz w:val="28"/>
          <w:szCs w:val="28"/>
        </w:rPr>
        <w:t>Kayzy Bigler</w:t>
      </w:r>
      <w:r w:rsidR="00FB7EF9">
        <w:rPr>
          <w:rStyle w:val="Strong"/>
          <w:rFonts w:asciiTheme="majorHAnsi" w:eastAsia="Times New Roman" w:hAnsiTheme="majorHAnsi" w:cs="Tahoma"/>
          <w:b w:val="0"/>
          <w:color w:val="808080" w:themeColor="background1" w:themeShade="80"/>
          <w:sz w:val="28"/>
          <w:szCs w:val="28"/>
        </w:rPr>
        <w:t xml:space="preserve">     </w:t>
      </w:r>
      <w:r w:rsidR="00FB7EF9">
        <w:rPr>
          <w:rStyle w:val="Strong"/>
          <w:rFonts w:asciiTheme="majorHAnsi" w:eastAsia="Times New Roman" w:hAnsiTheme="majorHAnsi" w:cs="Tahoma"/>
          <w:bCs w:val="0"/>
          <w:color w:val="808080" w:themeColor="background1" w:themeShade="80"/>
          <w:sz w:val="28"/>
          <w:szCs w:val="28"/>
        </w:rPr>
        <w:t xml:space="preserve">Recorder: </w:t>
      </w:r>
      <w:r w:rsidR="00FB7EF9">
        <w:rPr>
          <w:rStyle w:val="Strong"/>
          <w:rFonts w:asciiTheme="majorHAnsi" w:eastAsia="Times New Roman" w:hAnsiTheme="majorHAnsi" w:cs="Tahoma"/>
          <w:b w:val="0"/>
          <w:color w:val="808080" w:themeColor="background1" w:themeShade="80"/>
          <w:sz w:val="28"/>
          <w:szCs w:val="28"/>
        </w:rPr>
        <w:t>Connie Satzler</w:t>
      </w:r>
    </w:p>
    <w:p w14:paraId="156F8598" w14:textId="77777777" w:rsidR="0040000F" w:rsidRDefault="0040000F" w:rsidP="00B80DB8">
      <w:pPr>
        <w:spacing w:after="0" w:line="240" w:lineRule="auto"/>
        <w:rPr>
          <w:rFonts w:ascii="Century Gothic" w:hAnsi="Century Gothic" w:cs="Calibri"/>
          <w:b/>
          <w:sz w:val="20"/>
          <w:szCs w:val="24"/>
        </w:rPr>
      </w:pPr>
      <w:r>
        <w:rPr>
          <w:noProof/>
        </w:rPr>
        <mc:AlternateContent>
          <mc:Choice Requires="wps">
            <w:drawing>
              <wp:anchor distT="0" distB="0" distL="114300" distR="114300" simplePos="0" relativeHeight="251660288" behindDoc="0" locked="0" layoutInCell="1" allowOverlap="1" wp14:anchorId="38C97001" wp14:editId="22DAB9B8">
                <wp:simplePos x="0" y="0"/>
                <wp:positionH relativeFrom="margin">
                  <wp:posOffset>1306830</wp:posOffset>
                </wp:positionH>
                <wp:positionV relativeFrom="paragraph">
                  <wp:posOffset>23495</wp:posOffset>
                </wp:positionV>
                <wp:extent cx="54864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5486400"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DEE7B4"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2.9pt,1.85pt" to="534.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" strokecolor="#ed7d31 [3205]" strokeweight="1.5pt">
                <v:stroke joinstyle="miter"/>
                <w10:wrap anchorx="margin"/>
              </v:line>
            </w:pict>
          </mc:Fallback>
        </mc:AlternateContent>
      </w:r>
    </w:p>
    <w:p w14:paraId="2C276BBB" w14:textId="27B0FCFA" w:rsidR="00494BA1" w:rsidRPr="0097136F" w:rsidRDefault="000753E7" w:rsidP="00B80DB8">
      <w:pPr>
        <w:autoSpaceDE w:val="0"/>
        <w:autoSpaceDN w:val="0"/>
        <w:adjustRightInd w:val="0"/>
        <w:spacing w:after="120" w:line="240" w:lineRule="auto"/>
        <w:rPr>
          <w:rFonts w:ascii="Century Gothic" w:hAnsi="Century Gothic" w:cs="Calibri"/>
          <w:i/>
          <w:color w:val="404040" w:themeColor="text1" w:themeTint="BF"/>
          <w:szCs w:val="24"/>
        </w:rPr>
      </w:pPr>
      <w:r>
        <w:rPr>
          <w:rFonts w:ascii="Century Gothic" w:hAnsi="Century Gothic" w:cs="Calibri"/>
          <w:b/>
          <w:color w:val="404040" w:themeColor="text1" w:themeTint="BF"/>
          <w:szCs w:val="24"/>
        </w:rPr>
        <w:t>Instructions:</w:t>
      </w:r>
      <w:r w:rsidR="00494BA1">
        <w:rPr>
          <w:rFonts w:ascii="Century Gothic" w:hAnsi="Century Gothic" w:cs="Calibri"/>
          <w:b/>
          <w:color w:val="404040" w:themeColor="text1" w:themeTint="BF"/>
          <w:szCs w:val="24"/>
        </w:rPr>
        <w:t xml:space="preserve">  </w:t>
      </w:r>
      <w:r w:rsidR="0097136F" w:rsidRPr="0097136F">
        <w:rPr>
          <w:rFonts w:ascii="Century Gothic" w:hAnsi="Century Gothic" w:cs="Calibri"/>
          <w:i/>
          <w:color w:val="404040" w:themeColor="text1" w:themeTint="BF"/>
          <w:szCs w:val="24"/>
        </w:rPr>
        <w:t>Provide brief responses to the following questions related to the focus area/issue.</w:t>
      </w:r>
    </w:p>
    <w:tbl>
      <w:tblPr>
        <w:tblStyle w:val="TableGrid"/>
        <w:tblW w:w="10890" w:type="dxa"/>
        <w:tblInd w:w="-5" w:type="dxa"/>
        <w:shd w:val="clear" w:color="auto" w:fill="D0CECE" w:themeFill="background2" w:themeFillShade="E6"/>
        <w:tblLook w:val="04A0" w:firstRow="1" w:lastRow="0" w:firstColumn="1" w:lastColumn="0" w:noHBand="0" w:noVBand="1"/>
      </w:tblPr>
      <w:tblGrid>
        <w:gridCol w:w="3870"/>
        <w:gridCol w:w="7020"/>
      </w:tblGrid>
      <w:tr w:rsidR="0097136F" w:rsidRPr="000A4171" w14:paraId="152E8306" w14:textId="77777777" w:rsidTr="0083008B">
        <w:trPr>
          <w:trHeight w:val="530"/>
          <w:tblHeader/>
        </w:trPr>
        <w:tc>
          <w:tcPr>
            <w:tcW w:w="3870" w:type="dxa"/>
            <w:shd w:val="clear" w:color="auto" w:fill="D5EDF7"/>
            <w:vAlign w:val="center"/>
          </w:tcPr>
          <w:p w14:paraId="44CCB8EC" w14:textId="77777777" w:rsidR="0097136F" w:rsidRPr="000A4171" w:rsidRDefault="0097136F" w:rsidP="00B80DB8">
            <w:pPr>
              <w:jc w:val="center"/>
              <w:rPr>
                <w:rStyle w:val="Strong"/>
                <w:rFonts w:ascii="Century Gothic" w:eastAsia="Times New Roman" w:hAnsi="Century Gothic" w:cs="Tahoma"/>
                <w:color w:val="0070C0"/>
              </w:rPr>
            </w:pPr>
            <w:r w:rsidRPr="000A4171">
              <w:rPr>
                <w:rStyle w:val="Strong"/>
                <w:rFonts w:ascii="Century Gothic" w:eastAsia="Times New Roman" w:hAnsi="Century Gothic" w:cs="Tahoma"/>
                <w:color w:val="0070C0"/>
              </w:rPr>
              <w:t>Discussion Question</w:t>
            </w:r>
            <w:r>
              <w:rPr>
                <w:rStyle w:val="Strong"/>
                <w:rFonts w:ascii="Century Gothic" w:eastAsia="Times New Roman" w:hAnsi="Century Gothic" w:cs="Tahoma"/>
                <w:color w:val="0070C0"/>
              </w:rPr>
              <w:t>s</w:t>
            </w:r>
          </w:p>
        </w:tc>
        <w:tc>
          <w:tcPr>
            <w:tcW w:w="7020" w:type="dxa"/>
            <w:shd w:val="clear" w:color="auto" w:fill="D5EDF7"/>
            <w:vAlign w:val="center"/>
          </w:tcPr>
          <w:p w14:paraId="7CDF14D1" w14:textId="77777777" w:rsidR="0097136F" w:rsidRPr="000A4171" w:rsidRDefault="0097136F" w:rsidP="00B80DB8">
            <w:pPr>
              <w:jc w:val="center"/>
              <w:rPr>
                <w:rStyle w:val="Strong"/>
                <w:rFonts w:ascii="Century Gothic" w:eastAsia="Times New Roman" w:hAnsi="Century Gothic" w:cs="Tahoma"/>
                <w:color w:val="0070C0"/>
              </w:rPr>
            </w:pPr>
            <w:r w:rsidRPr="000A4171">
              <w:rPr>
                <w:rStyle w:val="Strong"/>
                <w:rFonts w:ascii="Century Gothic" w:eastAsia="Times New Roman" w:hAnsi="Century Gothic" w:cs="Tahoma"/>
                <w:color w:val="0070C0"/>
              </w:rPr>
              <w:t>Comments</w:t>
            </w:r>
          </w:p>
        </w:tc>
      </w:tr>
      <w:tr w:rsidR="0097136F" w:rsidRPr="00103AAC" w14:paraId="258F0E8B" w14:textId="77777777" w:rsidTr="0083008B">
        <w:trPr>
          <w:trHeight w:val="935"/>
        </w:trPr>
        <w:tc>
          <w:tcPr>
            <w:tcW w:w="3870" w:type="dxa"/>
            <w:shd w:val="clear" w:color="auto" w:fill="E7E6E6" w:themeFill="background2"/>
            <w:tcMar>
              <w:top w:w="72" w:type="dxa"/>
              <w:left w:w="115" w:type="dxa"/>
              <w:bottom w:w="72" w:type="dxa"/>
              <w:right w:w="115" w:type="dxa"/>
            </w:tcMar>
            <w:vAlign w:val="center"/>
          </w:tcPr>
          <w:p w14:paraId="346542A4" w14:textId="33CE9A40" w:rsidR="0097136F" w:rsidRPr="00A97367" w:rsidRDefault="0097136F" w:rsidP="00A97367">
            <w:pPr>
              <w:pStyle w:val="ListParagraph"/>
              <w:numPr>
                <w:ilvl w:val="0"/>
                <w:numId w:val="20"/>
              </w:numPr>
              <w:tabs>
                <w:tab w:val="left" w:pos="1086"/>
                <w:tab w:val="left" w:pos="1445"/>
              </w:tabs>
              <w:spacing w:before="120"/>
              <w:ind w:left="330"/>
              <w:rPr>
                <w:rStyle w:val="Strong"/>
                <w:rFonts w:ascii="Century Gothic" w:hAnsi="Century Gothic"/>
                <w:b w:val="0"/>
                <w:bCs w:val="0"/>
                <w:sz w:val="20"/>
                <w:szCs w:val="20"/>
              </w:rPr>
            </w:pPr>
            <w:r w:rsidRPr="00A97367">
              <w:rPr>
                <w:rFonts w:ascii="Century Gothic" w:hAnsi="Century Gothic"/>
                <w:sz w:val="20"/>
                <w:szCs w:val="20"/>
              </w:rPr>
              <w:t>What is the problem</w:t>
            </w:r>
            <w:r w:rsidR="00DC19E8" w:rsidRPr="00A97367">
              <w:rPr>
                <w:rFonts w:ascii="Century Gothic" w:hAnsi="Century Gothic"/>
                <w:sz w:val="20"/>
                <w:szCs w:val="20"/>
              </w:rPr>
              <w:t>/focus issue</w:t>
            </w:r>
            <w:r w:rsidRPr="00A97367">
              <w:rPr>
                <w:rFonts w:ascii="Century Gothic" w:hAnsi="Century Gothic"/>
                <w:sz w:val="20"/>
                <w:szCs w:val="20"/>
              </w:rPr>
              <w:t>?</w:t>
            </w:r>
            <w:r w:rsidRPr="00A97367">
              <w:rPr>
                <w:rFonts w:eastAsia="Times New Roman"/>
                <w:color w:val="000000"/>
              </w:rPr>
              <w:t xml:space="preserve"> </w:t>
            </w:r>
          </w:p>
        </w:tc>
        <w:tc>
          <w:tcPr>
            <w:tcW w:w="7020" w:type="dxa"/>
            <w:shd w:val="clear" w:color="auto" w:fill="FFFFFF" w:themeFill="background1"/>
            <w:tcMar>
              <w:top w:w="72" w:type="dxa"/>
              <w:bottom w:w="72" w:type="dxa"/>
            </w:tcMar>
            <w:vAlign w:val="center"/>
          </w:tcPr>
          <w:p w14:paraId="2BBA4FAB" w14:textId="1CB9F5FC" w:rsidR="005B5E49" w:rsidRPr="00AD1E49" w:rsidRDefault="001D2705" w:rsidP="001D2705">
            <w:pPr>
              <w:pStyle w:val="CommentText"/>
              <w:rPr>
                <w:rStyle w:val="Strong"/>
                <w:b w:val="0"/>
                <w:bCs w:val="0"/>
              </w:rPr>
            </w:pPr>
            <w:r w:rsidRPr="00B80DB8">
              <w:t>Research indicates that children with a stable and continuous source of health care are more likely to receive appropriate preventive care, are less likely to be hospitalized for preventable conditions, and are more likely to be diagnosed early for chronic or disabling conditions.</w:t>
            </w:r>
            <w:r>
              <w:t xml:space="preserve"> Only half of Kansas children have a medical home. Children with special health care needs are less likely to have a family-centered medical home than children without special health care needs. </w:t>
            </w:r>
          </w:p>
        </w:tc>
      </w:tr>
      <w:tr w:rsidR="0097136F" w:rsidRPr="00103AAC" w14:paraId="48D41A28" w14:textId="77777777" w:rsidTr="0083008B">
        <w:trPr>
          <w:trHeight w:val="935"/>
        </w:trPr>
        <w:tc>
          <w:tcPr>
            <w:tcW w:w="3870" w:type="dxa"/>
            <w:shd w:val="clear" w:color="auto" w:fill="E7E6E6" w:themeFill="background2"/>
            <w:tcMar>
              <w:top w:w="72" w:type="dxa"/>
              <w:left w:w="115" w:type="dxa"/>
              <w:bottom w:w="72" w:type="dxa"/>
              <w:right w:w="115" w:type="dxa"/>
            </w:tcMar>
            <w:vAlign w:val="center"/>
          </w:tcPr>
          <w:p w14:paraId="7C2D9F8B" w14:textId="3DC17E07" w:rsidR="0097136F" w:rsidRPr="00A97367" w:rsidRDefault="0097136F" w:rsidP="00A97367">
            <w:pPr>
              <w:pStyle w:val="ListParagraph"/>
              <w:numPr>
                <w:ilvl w:val="0"/>
                <w:numId w:val="20"/>
              </w:numPr>
              <w:tabs>
                <w:tab w:val="left" w:pos="1086"/>
                <w:tab w:val="left" w:pos="1445"/>
              </w:tabs>
              <w:spacing w:before="120"/>
              <w:ind w:left="330"/>
              <w:rPr>
                <w:rFonts w:ascii="Century Gothic" w:hAnsi="Century Gothic"/>
                <w:sz w:val="20"/>
                <w:szCs w:val="20"/>
              </w:rPr>
            </w:pPr>
            <w:r w:rsidRPr="00A97367">
              <w:rPr>
                <w:rFonts w:ascii="Century Gothic" w:hAnsi="Century Gothic"/>
                <w:sz w:val="20"/>
                <w:szCs w:val="20"/>
              </w:rPr>
              <w:t>Who is the target audience for the message(s)?</w:t>
            </w:r>
          </w:p>
        </w:tc>
        <w:tc>
          <w:tcPr>
            <w:tcW w:w="7020" w:type="dxa"/>
            <w:shd w:val="clear" w:color="auto" w:fill="FFFFFF" w:themeFill="background1"/>
            <w:tcMar>
              <w:top w:w="72" w:type="dxa"/>
              <w:bottom w:w="72" w:type="dxa"/>
            </w:tcMar>
            <w:vAlign w:val="center"/>
          </w:tcPr>
          <w:p w14:paraId="7D4E8869" w14:textId="7FEDF401" w:rsidR="0097136F" w:rsidRPr="00AD1E49" w:rsidRDefault="005B5E49" w:rsidP="00B80DB8">
            <w:pPr>
              <w:pStyle w:val="CommentText"/>
              <w:rPr>
                <w:rStyle w:val="Strong"/>
                <w:b w:val="0"/>
                <w:bCs w:val="0"/>
              </w:rPr>
            </w:pPr>
            <w:r w:rsidRPr="00AD1E49">
              <w:t>Providers are primary/target audience for the messaging: How can they champion/lead and what opportunities are there for family-centered medical home support (increasing family satisfaction with communication w/dr.); family awareness (target: providers re: nontraditional approaches to improve; communication strategies, engagement, small changes in a practice setting to increase support, for example establishing a patient advisory board).</w:t>
            </w:r>
          </w:p>
        </w:tc>
      </w:tr>
      <w:tr w:rsidR="00FB7EF9" w:rsidRPr="00103AAC" w14:paraId="009741B3" w14:textId="77777777" w:rsidTr="0083008B">
        <w:trPr>
          <w:trHeight w:val="935"/>
        </w:trPr>
        <w:tc>
          <w:tcPr>
            <w:tcW w:w="3870" w:type="dxa"/>
            <w:shd w:val="clear" w:color="auto" w:fill="E7E6E6" w:themeFill="background2"/>
            <w:tcMar>
              <w:top w:w="72" w:type="dxa"/>
              <w:left w:w="115" w:type="dxa"/>
              <w:bottom w:w="72" w:type="dxa"/>
              <w:right w:w="115" w:type="dxa"/>
            </w:tcMar>
            <w:vAlign w:val="center"/>
          </w:tcPr>
          <w:p w14:paraId="75E32C02" w14:textId="26B2E7A9" w:rsidR="00FB7EF9" w:rsidRPr="00A97367" w:rsidRDefault="00FB7EF9" w:rsidP="00A97367">
            <w:pPr>
              <w:pStyle w:val="ListParagraph"/>
              <w:numPr>
                <w:ilvl w:val="0"/>
                <w:numId w:val="20"/>
              </w:numPr>
              <w:tabs>
                <w:tab w:val="left" w:pos="1086"/>
                <w:tab w:val="left" w:pos="1445"/>
              </w:tabs>
              <w:spacing w:before="120"/>
              <w:ind w:left="330"/>
              <w:rPr>
                <w:rFonts w:ascii="Century Gothic" w:hAnsi="Century Gothic"/>
                <w:sz w:val="20"/>
                <w:szCs w:val="20"/>
              </w:rPr>
            </w:pPr>
            <w:r w:rsidRPr="00A97367">
              <w:rPr>
                <w:rFonts w:ascii="Century Gothic" w:hAnsi="Century Gothic"/>
                <w:sz w:val="20"/>
                <w:szCs w:val="20"/>
              </w:rPr>
              <w:t>What type of document/product related to outreach/messaging are you preparing (what is the purpose) and why? (action alert, infographic, bulletin, etc.)</w:t>
            </w:r>
          </w:p>
        </w:tc>
        <w:tc>
          <w:tcPr>
            <w:tcW w:w="7020" w:type="dxa"/>
            <w:shd w:val="clear" w:color="auto" w:fill="FFFFFF" w:themeFill="background1"/>
            <w:tcMar>
              <w:top w:w="72" w:type="dxa"/>
              <w:bottom w:w="72" w:type="dxa"/>
            </w:tcMar>
            <w:vAlign w:val="center"/>
          </w:tcPr>
          <w:p w14:paraId="1EA6E106" w14:textId="77777777" w:rsidR="00FB7EF9" w:rsidRDefault="00FB7EF9" w:rsidP="00FB7EF9">
            <w:pPr>
              <w:rPr>
                <w:rStyle w:val="Strong"/>
                <w:rFonts w:eastAsia="Times New Roman" w:cstheme="minorHAnsi"/>
                <w:b w:val="0"/>
                <w:sz w:val="20"/>
                <w:szCs w:val="20"/>
              </w:rPr>
            </w:pPr>
            <w:r w:rsidRPr="00965869">
              <w:rPr>
                <w:rStyle w:val="Strong"/>
                <w:rFonts w:eastAsia="Times New Roman" w:cstheme="minorHAnsi"/>
                <w:b w:val="0"/>
                <w:sz w:val="20"/>
                <w:szCs w:val="20"/>
              </w:rPr>
              <w:t>Action Alert/Call to Action</w:t>
            </w:r>
          </w:p>
          <w:p w14:paraId="031376A7" w14:textId="77777777" w:rsidR="00FB7EF9" w:rsidRPr="00965869" w:rsidRDefault="00FB7EF9" w:rsidP="00FB7EF9">
            <w:pPr>
              <w:rPr>
                <w:rStyle w:val="Strong"/>
                <w:rFonts w:eastAsia="Times New Roman" w:cstheme="minorHAnsi"/>
                <w:b w:val="0"/>
                <w:sz w:val="20"/>
                <w:szCs w:val="20"/>
              </w:rPr>
            </w:pPr>
          </w:p>
          <w:p w14:paraId="271C37D9" w14:textId="65C83E18" w:rsidR="00FB7EF9" w:rsidRPr="00AD1E49" w:rsidRDefault="00FB7EF9" w:rsidP="00FB7EF9">
            <w:pPr>
              <w:rPr>
                <w:rStyle w:val="Strong"/>
                <w:rFonts w:eastAsia="Times New Roman" w:cstheme="minorHAnsi"/>
                <w:b w:val="0"/>
                <w:sz w:val="20"/>
                <w:szCs w:val="20"/>
              </w:rPr>
            </w:pPr>
            <w:r w:rsidRPr="00965869">
              <w:rPr>
                <w:rStyle w:val="Strong"/>
                <w:rFonts w:eastAsia="Times New Roman" w:cstheme="minorHAnsi"/>
                <w:b w:val="0"/>
                <w:sz w:val="20"/>
                <w:szCs w:val="20"/>
              </w:rPr>
              <w:t>(Use data, strategies, tips, and reminders to send the messages to impact behavior</w:t>
            </w:r>
            <w:r>
              <w:rPr>
                <w:rStyle w:val="Strong"/>
                <w:rFonts w:eastAsia="Times New Roman" w:cstheme="minorHAnsi"/>
                <w:b w:val="0"/>
                <w:sz w:val="20"/>
                <w:szCs w:val="20"/>
              </w:rPr>
              <w:t>;</w:t>
            </w:r>
            <w:r w:rsidRPr="00965869">
              <w:rPr>
                <w:rStyle w:val="Strong"/>
                <w:rFonts w:eastAsia="Times New Roman" w:cstheme="minorHAnsi"/>
                <w:b w:val="0"/>
                <w:sz w:val="20"/>
                <w:szCs w:val="20"/>
              </w:rPr>
              <w:t xml:space="preserve"> intent is to mobilize and activate/create and drive action across sectors – we are all a part of the solution and can do something now</w:t>
            </w:r>
            <w:r>
              <w:rPr>
                <w:rStyle w:val="Strong"/>
                <w:rFonts w:eastAsia="Times New Roman" w:cstheme="minorHAnsi"/>
                <w:b w:val="0"/>
                <w:sz w:val="20"/>
                <w:szCs w:val="20"/>
              </w:rPr>
              <w:t>.</w:t>
            </w:r>
            <w:r w:rsidRPr="00965869">
              <w:rPr>
                <w:rStyle w:val="Strong"/>
                <w:rFonts w:eastAsia="Times New Roman" w:cstheme="minorHAnsi"/>
                <w:b w:val="0"/>
                <w:sz w:val="20"/>
                <w:szCs w:val="20"/>
              </w:rPr>
              <w:t>)</w:t>
            </w:r>
          </w:p>
        </w:tc>
      </w:tr>
      <w:tr w:rsidR="00FB7EF9" w:rsidRPr="00103AAC" w14:paraId="0F757682" w14:textId="77777777" w:rsidTr="0083008B">
        <w:trPr>
          <w:trHeight w:val="935"/>
        </w:trPr>
        <w:tc>
          <w:tcPr>
            <w:tcW w:w="3870" w:type="dxa"/>
            <w:shd w:val="clear" w:color="auto" w:fill="E7E6E6" w:themeFill="background2"/>
            <w:tcMar>
              <w:top w:w="72" w:type="dxa"/>
              <w:left w:w="115" w:type="dxa"/>
              <w:bottom w:w="72" w:type="dxa"/>
              <w:right w:w="115" w:type="dxa"/>
            </w:tcMar>
            <w:vAlign w:val="center"/>
          </w:tcPr>
          <w:p w14:paraId="242B02B6" w14:textId="06B14C69" w:rsidR="00FB7EF9" w:rsidRPr="00A97367" w:rsidRDefault="00FB7EF9" w:rsidP="00A97367">
            <w:pPr>
              <w:pStyle w:val="ListParagraph"/>
              <w:numPr>
                <w:ilvl w:val="0"/>
                <w:numId w:val="20"/>
              </w:numPr>
              <w:tabs>
                <w:tab w:val="left" w:pos="1086"/>
                <w:tab w:val="left" w:pos="1445"/>
              </w:tabs>
              <w:spacing w:before="120"/>
              <w:ind w:left="330"/>
              <w:rPr>
                <w:rFonts w:ascii="Century Gothic" w:hAnsi="Century Gothic"/>
                <w:sz w:val="20"/>
                <w:szCs w:val="20"/>
              </w:rPr>
            </w:pPr>
            <w:r w:rsidRPr="00A97367">
              <w:rPr>
                <w:rFonts w:ascii="Century Gothic" w:hAnsi="Century Gothic"/>
                <w:sz w:val="20"/>
                <w:szCs w:val="20"/>
              </w:rPr>
              <w:t>What MCH performance measure does this aim to address/support?</w:t>
            </w:r>
          </w:p>
        </w:tc>
        <w:tc>
          <w:tcPr>
            <w:tcW w:w="7020" w:type="dxa"/>
            <w:shd w:val="clear" w:color="auto" w:fill="FFFFFF" w:themeFill="background1"/>
            <w:tcMar>
              <w:top w:w="72" w:type="dxa"/>
              <w:bottom w:w="72" w:type="dxa"/>
            </w:tcMar>
            <w:vAlign w:val="center"/>
          </w:tcPr>
          <w:p w14:paraId="5AE9A620" w14:textId="77777777" w:rsidR="00FB7EF9" w:rsidRDefault="00FB7EF9" w:rsidP="00FB7EF9">
            <w:pPr>
              <w:rPr>
                <w:rStyle w:val="Strong"/>
                <w:rFonts w:eastAsia="Times New Roman" w:cstheme="minorHAnsi"/>
                <w:b w:val="0"/>
                <w:sz w:val="20"/>
                <w:szCs w:val="20"/>
              </w:rPr>
            </w:pPr>
            <w:r w:rsidRPr="00AD1E49">
              <w:rPr>
                <w:rStyle w:val="Strong"/>
                <w:rFonts w:eastAsia="Times New Roman" w:cstheme="minorHAnsi"/>
                <w:b w:val="0"/>
                <w:sz w:val="20"/>
                <w:szCs w:val="20"/>
              </w:rPr>
              <w:t>NPM 11: Medical Home (% of children with and without special health care needs, 0-17 years, who have a medical home)</w:t>
            </w:r>
          </w:p>
          <w:p w14:paraId="4BA4DB47" w14:textId="77777777" w:rsidR="00FB7EF9" w:rsidRDefault="00FB7EF9" w:rsidP="00FB7EF9">
            <w:pPr>
              <w:rPr>
                <w:rStyle w:val="Strong"/>
                <w:rFonts w:eastAsia="Times New Roman" w:cstheme="minorHAnsi"/>
                <w:b w:val="0"/>
                <w:sz w:val="20"/>
                <w:szCs w:val="20"/>
              </w:rPr>
            </w:pPr>
          </w:p>
          <w:p w14:paraId="2113CB92" w14:textId="3F52DD5B" w:rsidR="00FB7EF9" w:rsidRPr="00AD1E49" w:rsidRDefault="00FB7EF9" w:rsidP="00FB7EF9">
            <w:pPr>
              <w:rPr>
                <w:rStyle w:val="Strong"/>
                <w:rFonts w:eastAsia="Times New Roman" w:cstheme="minorHAnsi"/>
                <w:b w:val="0"/>
                <w:sz w:val="20"/>
                <w:szCs w:val="20"/>
              </w:rPr>
            </w:pPr>
            <w:r w:rsidRPr="001D2705">
              <w:rPr>
                <w:sz w:val="16"/>
              </w:rPr>
              <w:t>Numerator: Number of children with and without special health care needs, ages 0 through 17, who meet the criteria for having a medical home (personal doctor or nurse, usual source for care, and family</w:t>
            </w:r>
            <w:r>
              <w:rPr>
                <w:sz w:val="16"/>
              </w:rPr>
              <w:t>-</w:t>
            </w:r>
            <w:r w:rsidRPr="001D2705">
              <w:rPr>
                <w:sz w:val="16"/>
              </w:rPr>
              <w:t>centered care; referrals or care coordination if needed) Denominator: Number of children, ages 0 through 17</w:t>
            </w:r>
          </w:p>
        </w:tc>
      </w:tr>
      <w:tr w:rsidR="00FB7EF9" w:rsidRPr="00103AAC" w14:paraId="70B4A067" w14:textId="77777777" w:rsidTr="000A4171">
        <w:trPr>
          <w:trHeight w:val="935"/>
        </w:trPr>
        <w:tc>
          <w:tcPr>
            <w:tcW w:w="3870" w:type="dxa"/>
            <w:shd w:val="clear" w:color="auto" w:fill="E7E6E6" w:themeFill="background2"/>
            <w:tcMar>
              <w:top w:w="72" w:type="dxa"/>
              <w:left w:w="115" w:type="dxa"/>
              <w:bottom w:w="72" w:type="dxa"/>
              <w:right w:w="115" w:type="dxa"/>
            </w:tcMar>
            <w:vAlign w:val="center"/>
          </w:tcPr>
          <w:p w14:paraId="7B3DB8EA" w14:textId="369256FC" w:rsidR="00FB7EF9" w:rsidRPr="00A97367" w:rsidRDefault="00FB7EF9" w:rsidP="00A97367">
            <w:pPr>
              <w:pStyle w:val="ListParagraph"/>
              <w:numPr>
                <w:ilvl w:val="0"/>
                <w:numId w:val="20"/>
              </w:numPr>
              <w:tabs>
                <w:tab w:val="left" w:pos="1086"/>
                <w:tab w:val="left" w:pos="1445"/>
              </w:tabs>
              <w:ind w:left="330"/>
              <w:rPr>
                <w:rFonts w:ascii="Century Gothic" w:hAnsi="Century Gothic"/>
                <w:sz w:val="20"/>
                <w:szCs w:val="20"/>
              </w:rPr>
            </w:pPr>
            <w:r w:rsidRPr="00A97367">
              <w:rPr>
                <w:rFonts w:ascii="Century Gothic" w:hAnsi="Century Gothic"/>
                <w:sz w:val="20"/>
                <w:szCs w:val="20"/>
              </w:rPr>
              <w:t>Outline the case for need:</w:t>
            </w:r>
          </w:p>
          <w:p w14:paraId="3C5E0332" w14:textId="3763B05A" w:rsidR="00FB7EF9" w:rsidRPr="00916D8D" w:rsidRDefault="00FB7EF9" w:rsidP="00FB7EF9">
            <w:pPr>
              <w:pStyle w:val="ListParagraph"/>
              <w:numPr>
                <w:ilvl w:val="0"/>
                <w:numId w:val="14"/>
              </w:numPr>
              <w:tabs>
                <w:tab w:val="left" w:pos="1086"/>
                <w:tab w:val="left" w:pos="1445"/>
              </w:tabs>
              <w:rPr>
                <w:rFonts w:ascii="Century Gothic" w:hAnsi="Century Gothic"/>
                <w:sz w:val="16"/>
                <w:szCs w:val="20"/>
              </w:rPr>
            </w:pPr>
            <w:r w:rsidRPr="00916D8D">
              <w:rPr>
                <w:rFonts w:ascii="Century Gothic" w:eastAsia="Times New Roman" w:hAnsi="Century Gothic"/>
                <w:color w:val="000000"/>
                <w:sz w:val="18"/>
              </w:rPr>
              <w:t xml:space="preserve">Data/negative trends </w:t>
            </w:r>
          </w:p>
          <w:p w14:paraId="76CFDFE2" w14:textId="2116CE75" w:rsidR="00FB7EF9" w:rsidRPr="00916D8D" w:rsidRDefault="00FB7EF9" w:rsidP="00FB7EF9">
            <w:pPr>
              <w:pStyle w:val="ListParagraph"/>
              <w:numPr>
                <w:ilvl w:val="0"/>
                <w:numId w:val="14"/>
              </w:numPr>
              <w:tabs>
                <w:tab w:val="left" w:pos="1086"/>
                <w:tab w:val="left" w:pos="1445"/>
              </w:tabs>
              <w:spacing w:before="120"/>
              <w:rPr>
                <w:rFonts w:ascii="Century Gothic" w:hAnsi="Century Gothic"/>
                <w:sz w:val="16"/>
                <w:szCs w:val="20"/>
              </w:rPr>
            </w:pPr>
            <w:r w:rsidRPr="00916D8D">
              <w:rPr>
                <w:rFonts w:ascii="Century Gothic" w:eastAsia="Times New Roman" w:hAnsi="Century Gothic"/>
                <w:color w:val="000000"/>
                <w:sz w:val="18"/>
              </w:rPr>
              <w:t xml:space="preserve">Behaviors </w:t>
            </w:r>
            <w:r>
              <w:rPr>
                <w:rFonts w:ascii="Century Gothic" w:eastAsia="Times New Roman" w:hAnsi="Century Gothic"/>
                <w:color w:val="000000"/>
                <w:sz w:val="18"/>
              </w:rPr>
              <w:t xml:space="preserve">to </w:t>
            </w:r>
            <w:r w:rsidRPr="00916D8D">
              <w:rPr>
                <w:rFonts w:ascii="Century Gothic" w:eastAsia="Times New Roman" w:hAnsi="Century Gothic"/>
                <w:color w:val="000000"/>
                <w:sz w:val="18"/>
              </w:rPr>
              <w:t>target for change that are contributing to the issue</w:t>
            </w:r>
          </w:p>
          <w:p w14:paraId="42A61328" w14:textId="260C59CA" w:rsidR="00FB7EF9" w:rsidRPr="00916D8D" w:rsidRDefault="00FB7EF9" w:rsidP="00FB7EF9">
            <w:pPr>
              <w:pStyle w:val="ListParagraph"/>
              <w:numPr>
                <w:ilvl w:val="0"/>
                <w:numId w:val="14"/>
              </w:numPr>
              <w:tabs>
                <w:tab w:val="left" w:pos="1086"/>
                <w:tab w:val="left" w:pos="1445"/>
              </w:tabs>
              <w:spacing w:before="120"/>
              <w:rPr>
                <w:rFonts w:ascii="Century Gothic" w:hAnsi="Century Gothic"/>
                <w:sz w:val="16"/>
                <w:szCs w:val="20"/>
              </w:rPr>
            </w:pPr>
            <w:r w:rsidRPr="00916D8D">
              <w:rPr>
                <w:rFonts w:ascii="Century Gothic" w:eastAsia="Times New Roman" w:hAnsi="Century Gothic"/>
                <w:color w:val="000000"/>
                <w:sz w:val="18"/>
              </w:rPr>
              <w:t>System and/or policy issues and barriers contributing to the problem</w:t>
            </w:r>
          </w:p>
          <w:p w14:paraId="5D1D76D1" w14:textId="305DCA62" w:rsidR="00FB7EF9" w:rsidRPr="00916D8D" w:rsidRDefault="00FB7EF9" w:rsidP="00FB7EF9">
            <w:pPr>
              <w:pStyle w:val="ListParagraph"/>
              <w:numPr>
                <w:ilvl w:val="0"/>
                <w:numId w:val="14"/>
              </w:numPr>
              <w:tabs>
                <w:tab w:val="left" w:pos="1086"/>
                <w:tab w:val="left" w:pos="1445"/>
              </w:tabs>
              <w:spacing w:before="120"/>
              <w:rPr>
                <w:rStyle w:val="Strong"/>
                <w:rFonts w:ascii="Century Gothic" w:hAnsi="Century Gothic"/>
                <w:b w:val="0"/>
                <w:bCs w:val="0"/>
                <w:sz w:val="20"/>
                <w:szCs w:val="20"/>
              </w:rPr>
            </w:pPr>
            <w:r w:rsidRPr="00916D8D">
              <w:rPr>
                <w:rFonts w:ascii="Century Gothic" w:eastAsia="Times New Roman" w:hAnsi="Century Gothic"/>
                <w:color w:val="000000"/>
                <w:sz w:val="18"/>
              </w:rPr>
              <w:t xml:space="preserve">Other contributing factors  </w:t>
            </w:r>
          </w:p>
        </w:tc>
        <w:tc>
          <w:tcPr>
            <w:tcW w:w="7020" w:type="dxa"/>
            <w:shd w:val="clear" w:color="auto" w:fill="FFFFFF" w:themeFill="background1"/>
            <w:tcMar>
              <w:top w:w="72" w:type="dxa"/>
              <w:bottom w:w="72" w:type="dxa"/>
            </w:tcMar>
            <w:vAlign w:val="center"/>
          </w:tcPr>
          <w:p w14:paraId="6AC67D27" w14:textId="38FEB301" w:rsidR="00FB7EF9" w:rsidRPr="001D2705" w:rsidRDefault="00FB7EF9" w:rsidP="00FB7EF9">
            <w:pPr>
              <w:rPr>
                <w:sz w:val="20"/>
                <w:szCs w:val="20"/>
              </w:rPr>
            </w:pPr>
            <w:r w:rsidRPr="001D2705">
              <w:rPr>
                <w:rStyle w:val="Strong"/>
                <w:rFonts w:eastAsia="Times New Roman" w:cstheme="minorHAnsi"/>
                <w:b w:val="0"/>
                <w:sz w:val="20"/>
                <w:szCs w:val="20"/>
              </w:rPr>
              <w:t xml:space="preserve">Data: The most current data indicates </w:t>
            </w:r>
            <w:r w:rsidRPr="001D2705">
              <w:rPr>
                <w:sz w:val="20"/>
                <w:szCs w:val="20"/>
              </w:rPr>
              <w:t xml:space="preserve">the care received by 50.6% of Kansas children under the age of 18 met medical home criteria. </w:t>
            </w:r>
            <w:r w:rsidRPr="001D2705">
              <w:rPr>
                <w:b/>
                <w:sz w:val="20"/>
                <w:szCs w:val="20"/>
              </w:rPr>
              <w:t>Children with special health care needs (46.1%) were less likely to have a medical home</w:t>
            </w:r>
            <w:r w:rsidRPr="001D2705">
              <w:rPr>
                <w:sz w:val="20"/>
                <w:szCs w:val="20"/>
              </w:rPr>
              <w:t xml:space="preserve"> than children without special health care needs (51.8%). (Source: The 2016-2017 National Survey of Children’s Health, 2 years combined)</w:t>
            </w:r>
          </w:p>
          <w:p w14:paraId="1E1A4267" w14:textId="77777777" w:rsidR="00FB7EF9" w:rsidRPr="001D2705" w:rsidRDefault="00FB7EF9" w:rsidP="00FB7EF9">
            <w:pPr>
              <w:rPr>
                <w:i/>
                <w:sz w:val="20"/>
                <w:szCs w:val="20"/>
              </w:rPr>
            </w:pPr>
          </w:p>
          <w:p w14:paraId="549AE664" w14:textId="251E7FD1" w:rsidR="00FB7EF9" w:rsidRPr="001D2705" w:rsidRDefault="00FB7EF9" w:rsidP="00FB7EF9">
            <w:pPr>
              <w:rPr>
                <w:i/>
                <w:sz w:val="18"/>
                <w:szCs w:val="20"/>
              </w:rPr>
            </w:pPr>
            <w:r w:rsidRPr="001D2705">
              <w:rPr>
                <w:i/>
                <w:sz w:val="18"/>
                <w:szCs w:val="20"/>
              </w:rPr>
              <w:t xml:space="preserve">Disparities: </w:t>
            </w:r>
          </w:p>
          <w:p w14:paraId="6CB61A6E" w14:textId="77777777" w:rsidR="00FB7EF9" w:rsidRPr="001D2705" w:rsidRDefault="00FB7EF9" w:rsidP="00FB7EF9">
            <w:pPr>
              <w:pStyle w:val="ListParagraph"/>
              <w:numPr>
                <w:ilvl w:val="0"/>
                <w:numId w:val="19"/>
              </w:numPr>
              <w:rPr>
                <w:sz w:val="18"/>
                <w:szCs w:val="20"/>
              </w:rPr>
            </w:pPr>
            <w:r w:rsidRPr="001D2705">
              <w:rPr>
                <w:sz w:val="18"/>
                <w:szCs w:val="20"/>
              </w:rPr>
              <w:t xml:space="preserve">Children aged 0–5 years (51.0%) and 6-11 years (52.9%) were more likely to have a medical home than children aged 12–17 years (48.1%). </w:t>
            </w:r>
          </w:p>
          <w:p w14:paraId="06E4D871" w14:textId="77777777" w:rsidR="00FB7EF9" w:rsidRPr="001D2705" w:rsidRDefault="00FB7EF9" w:rsidP="00FB7EF9">
            <w:pPr>
              <w:pStyle w:val="ListParagraph"/>
              <w:numPr>
                <w:ilvl w:val="0"/>
                <w:numId w:val="19"/>
              </w:numPr>
              <w:rPr>
                <w:sz w:val="18"/>
                <w:szCs w:val="20"/>
              </w:rPr>
            </w:pPr>
            <w:r w:rsidRPr="001D2705">
              <w:rPr>
                <w:sz w:val="18"/>
                <w:szCs w:val="20"/>
              </w:rPr>
              <w:t xml:space="preserve">Hispanic children (35.2%) were less likely to have a medical home than non-Hispanic white children (54.4%). </w:t>
            </w:r>
          </w:p>
          <w:p w14:paraId="5E41F3CB" w14:textId="77777777" w:rsidR="00FB7EF9" w:rsidRPr="001D2705" w:rsidRDefault="00FB7EF9" w:rsidP="00FB7EF9">
            <w:pPr>
              <w:pStyle w:val="ListParagraph"/>
              <w:numPr>
                <w:ilvl w:val="0"/>
                <w:numId w:val="19"/>
              </w:numPr>
              <w:rPr>
                <w:sz w:val="18"/>
                <w:szCs w:val="20"/>
              </w:rPr>
            </w:pPr>
            <w:r w:rsidRPr="001D2705">
              <w:rPr>
                <w:sz w:val="18"/>
                <w:szCs w:val="20"/>
              </w:rPr>
              <w:t xml:space="preserve">Children living in a household with English as the primary language were more likely to have a medical home than children living in a household with a primary language other than English (52.0% versus 37.4 %, respectively). </w:t>
            </w:r>
          </w:p>
          <w:p w14:paraId="3B1FF654" w14:textId="77777777" w:rsidR="00FB7EF9" w:rsidRPr="001D2705" w:rsidRDefault="00FB7EF9" w:rsidP="00FB7EF9">
            <w:pPr>
              <w:pStyle w:val="ListParagraph"/>
              <w:numPr>
                <w:ilvl w:val="0"/>
                <w:numId w:val="19"/>
              </w:numPr>
              <w:rPr>
                <w:sz w:val="18"/>
                <w:szCs w:val="20"/>
              </w:rPr>
            </w:pPr>
            <w:r w:rsidRPr="001D2705">
              <w:rPr>
                <w:sz w:val="18"/>
                <w:szCs w:val="20"/>
              </w:rPr>
              <w:t>Children living in a household with two parents (currently married) were more likely to have a medical home than those with two parents (not currently married), those with only a mother (currently married (living apart), formerly married or never married), and those with all other family structures (55.6% compared to 41.6%, 40.2%, and 34.6%, respectively).</w:t>
            </w:r>
          </w:p>
          <w:p w14:paraId="691B3ABE" w14:textId="34A50E3C" w:rsidR="00FB7EF9" w:rsidRPr="001D2705" w:rsidRDefault="00FB7EF9" w:rsidP="00FB7EF9">
            <w:pPr>
              <w:pStyle w:val="ListParagraph"/>
              <w:numPr>
                <w:ilvl w:val="0"/>
                <w:numId w:val="19"/>
              </w:numPr>
              <w:rPr>
                <w:sz w:val="20"/>
                <w:szCs w:val="20"/>
              </w:rPr>
            </w:pPr>
            <w:r w:rsidRPr="001D2705">
              <w:rPr>
                <w:sz w:val="18"/>
                <w:szCs w:val="20"/>
              </w:rPr>
              <w:t xml:space="preserve">40.0% of children living in households with incomes less than 200 % of poverty had a medical home compared to 62.9% of children living in households with incomes of 400 % or more of poverty. The difference was significant. </w:t>
            </w:r>
          </w:p>
          <w:p w14:paraId="5851C452" w14:textId="4E030A77" w:rsidR="00FB7EF9" w:rsidRPr="00FB7EF9" w:rsidRDefault="00FB7EF9" w:rsidP="00FB7EF9">
            <w:pPr>
              <w:rPr>
                <w:rStyle w:val="Strong"/>
                <w:rFonts w:eastAsia="Times New Roman" w:cstheme="minorHAnsi"/>
                <w:bCs w:val="0"/>
                <w:sz w:val="20"/>
                <w:szCs w:val="20"/>
              </w:rPr>
            </w:pPr>
            <w:r w:rsidRPr="00FB7EF9">
              <w:rPr>
                <w:rStyle w:val="Strong"/>
                <w:rFonts w:eastAsia="Times New Roman" w:cstheme="minorHAnsi"/>
                <w:bCs w:val="0"/>
                <w:sz w:val="20"/>
                <w:szCs w:val="20"/>
              </w:rPr>
              <w:lastRenderedPageBreak/>
              <w:t>Behaviors to Target:</w:t>
            </w:r>
          </w:p>
          <w:p w14:paraId="1F62988B" w14:textId="79192404" w:rsidR="00FB7EF9" w:rsidRDefault="00FB7EF9" w:rsidP="00FB7EF9">
            <w:pPr>
              <w:rPr>
                <w:rStyle w:val="Strong"/>
                <w:rFonts w:eastAsia="Times New Roman" w:cstheme="minorHAnsi"/>
                <w:bCs w:val="0"/>
                <w:sz w:val="20"/>
                <w:szCs w:val="20"/>
              </w:rPr>
            </w:pPr>
          </w:p>
          <w:p w14:paraId="5487AEDA" w14:textId="6AD218C0" w:rsidR="00FB7EF9" w:rsidRDefault="00FB7EF9" w:rsidP="00FB7EF9">
            <w:pPr>
              <w:rPr>
                <w:rStyle w:val="Strong"/>
                <w:rFonts w:eastAsia="Times New Roman" w:cstheme="minorHAnsi"/>
                <w:bCs w:val="0"/>
                <w:sz w:val="20"/>
                <w:szCs w:val="20"/>
              </w:rPr>
            </w:pPr>
          </w:p>
          <w:p w14:paraId="190C76C3" w14:textId="77777777" w:rsidR="00FB7EF9" w:rsidRDefault="00FB7EF9" w:rsidP="00FB7EF9">
            <w:pPr>
              <w:rPr>
                <w:rStyle w:val="Strong"/>
                <w:rFonts w:eastAsia="Times New Roman" w:cstheme="minorHAnsi"/>
                <w:bCs w:val="0"/>
                <w:sz w:val="20"/>
                <w:szCs w:val="20"/>
              </w:rPr>
            </w:pPr>
          </w:p>
          <w:p w14:paraId="00826906" w14:textId="77777777" w:rsidR="00FB7EF9" w:rsidRPr="00FB7EF9" w:rsidRDefault="00FB7EF9" w:rsidP="00FB7EF9">
            <w:pPr>
              <w:rPr>
                <w:rStyle w:val="Strong"/>
                <w:rFonts w:eastAsia="Times New Roman" w:cstheme="minorHAnsi"/>
                <w:bCs w:val="0"/>
                <w:sz w:val="20"/>
                <w:szCs w:val="20"/>
              </w:rPr>
            </w:pPr>
          </w:p>
          <w:p w14:paraId="20E987F8" w14:textId="77777777" w:rsidR="00FB7EF9" w:rsidRPr="00FB7EF9" w:rsidRDefault="00FB7EF9" w:rsidP="00FB7EF9">
            <w:pPr>
              <w:rPr>
                <w:rStyle w:val="Strong"/>
                <w:rFonts w:eastAsia="Times New Roman" w:cstheme="minorHAnsi"/>
                <w:bCs w:val="0"/>
                <w:sz w:val="20"/>
                <w:szCs w:val="20"/>
              </w:rPr>
            </w:pPr>
            <w:r w:rsidRPr="00FB7EF9">
              <w:rPr>
                <w:rStyle w:val="Strong"/>
                <w:rFonts w:eastAsia="Times New Roman" w:cstheme="minorHAnsi"/>
                <w:bCs w:val="0"/>
                <w:sz w:val="20"/>
                <w:szCs w:val="20"/>
              </w:rPr>
              <w:t>System and/or Policy Issues:</w:t>
            </w:r>
          </w:p>
          <w:p w14:paraId="5DA6689B" w14:textId="744BD5B5" w:rsidR="00FB7EF9" w:rsidRDefault="00FB7EF9" w:rsidP="00FB7EF9">
            <w:pPr>
              <w:rPr>
                <w:rStyle w:val="Strong"/>
                <w:rFonts w:eastAsia="Times New Roman" w:cstheme="minorHAnsi"/>
                <w:bCs w:val="0"/>
                <w:sz w:val="20"/>
                <w:szCs w:val="20"/>
              </w:rPr>
            </w:pPr>
          </w:p>
          <w:p w14:paraId="1C526BE7" w14:textId="0E34D7CE" w:rsidR="00FB7EF9" w:rsidRDefault="00FB7EF9" w:rsidP="00FB7EF9">
            <w:pPr>
              <w:rPr>
                <w:rStyle w:val="Strong"/>
                <w:rFonts w:eastAsia="Times New Roman" w:cstheme="minorHAnsi"/>
                <w:bCs w:val="0"/>
                <w:sz w:val="20"/>
                <w:szCs w:val="20"/>
              </w:rPr>
            </w:pPr>
          </w:p>
          <w:p w14:paraId="1C47BFD2" w14:textId="77777777" w:rsidR="00FB7EF9" w:rsidRDefault="00FB7EF9" w:rsidP="00FB7EF9">
            <w:pPr>
              <w:rPr>
                <w:rStyle w:val="Strong"/>
                <w:rFonts w:eastAsia="Times New Roman" w:cstheme="minorHAnsi"/>
                <w:bCs w:val="0"/>
                <w:sz w:val="20"/>
                <w:szCs w:val="20"/>
              </w:rPr>
            </w:pPr>
          </w:p>
          <w:p w14:paraId="179A30C8" w14:textId="77777777" w:rsidR="00FB7EF9" w:rsidRPr="00FB7EF9" w:rsidRDefault="00FB7EF9" w:rsidP="00FB7EF9">
            <w:pPr>
              <w:rPr>
                <w:rStyle w:val="Strong"/>
                <w:rFonts w:eastAsia="Times New Roman" w:cstheme="minorHAnsi"/>
                <w:bCs w:val="0"/>
                <w:sz w:val="20"/>
                <w:szCs w:val="20"/>
              </w:rPr>
            </w:pPr>
          </w:p>
          <w:p w14:paraId="19346888" w14:textId="77777777" w:rsidR="00FB7EF9" w:rsidRPr="00FB7EF9" w:rsidRDefault="00FB7EF9" w:rsidP="00FB7EF9">
            <w:pPr>
              <w:rPr>
                <w:rStyle w:val="Strong"/>
                <w:rFonts w:eastAsia="Times New Roman" w:cstheme="minorHAnsi"/>
                <w:bCs w:val="0"/>
                <w:sz w:val="20"/>
                <w:szCs w:val="20"/>
              </w:rPr>
            </w:pPr>
            <w:r w:rsidRPr="00FB7EF9">
              <w:rPr>
                <w:rStyle w:val="Strong"/>
                <w:rFonts w:eastAsia="Times New Roman" w:cstheme="minorHAnsi"/>
                <w:bCs w:val="0"/>
                <w:sz w:val="20"/>
                <w:szCs w:val="20"/>
              </w:rPr>
              <w:t>Barriers to Address:</w:t>
            </w:r>
          </w:p>
          <w:p w14:paraId="74350375" w14:textId="0796A7CB" w:rsidR="00FB7EF9" w:rsidRDefault="00FB7EF9" w:rsidP="00FB7EF9">
            <w:pPr>
              <w:rPr>
                <w:rStyle w:val="Strong"/>
                <w:rFonts w:eastAsia="Times New Roman" w:cstheme="minorHAnsi"/>
                <w:bCs w:val="0"/>
                <w:sz w:val="20"/>
                <w:szCs w:val="20"/>
              </w:rPr>
            </w:pPr>
          </w:p>
          <w:p w14:paraId="39AFDBAE" w14:textId="77777777" w:rsidR="00FB7EF9" w:rsidRDefault="00FB7EF9" w:rsidP="00FB7EF9">
            <w:pPr>
              <w:rPr>
                <w:rStyle w:val="Strong"/>
                <w:rFonts w:eastAsia="Times New Roman" w:cstheme="minorHAnsi"/>
                <w:bCs w:val="0"/>
                <w:sz w:val="20"/>
                <w:szCs w:val="20"/>
              </w:rPr>
            </w:pPr>
          </w:p>
          <w:p w14:paraId="705732B3" w14:textId="6B1C614A" w:rsidR="00FB7EF9" w:rsidRDefault="00FB7EF9" w:rsidP="00FB7EF9">
            <w:pPr>
              <w:rPr>
                <w:rStyle w:val="Strong"/>
                <w:rFonts w:eastAsia="Times New Roman" w:cstheme="minorHAnsi"/>
                <w:bCs w:val="0"/>
                <w:sz w:val="20"/>
                <w:szCs w:val="20"/>
              </w:rPr>
            </w:pPr>
          </w:p>
          <w:p w14:paraId="3ACD4493" w14:textId="77777777" w:rsidR="00FB7EF9" w:rsidRPr="00FB7EF9" w:rsidRDefault="00FB7EF9" w:rsidP="00FB7EF9">
            <w:pPr>
              <w:rPr>
                <w:rStyle w:val="Strong"/>
                <w:rFonts w:eastAsia="Times New Roman" w:cstheme="minorHAnsi"/>
                <w:bCs w:val="0"/>
                <w:sz w:val="20"/>
                <w:szCs w:val="20"/>
              </w:rPr>
            </w:pPr>
          </w:p>
          <w:p w14:paraId="42BE6383" w14:textId="77777777" w:rsidR="00FB7EF9" w:rsidRDefault="00FB7EF9" w:rsidP="00FB7EF9">
            <w:pPr>
              <w:rPr>
                <w:rStyle w:val="Strong"/>
                <w:rFonts w:eastAsia="Times New Roman" w:cstheme="minorHAnsi"/>
                <w:b w:val="0"/>
                <w:sz w:val="20"/>
                <w:szCs w:val="20"/>
              </w:rPr>
            </w:pPr>
            <w:r w:rsidRPr="00FB7EF9">
              <w:rPr>
                <w:rStyle w:val="Strong"/>
                <w:rFonts w:eastAsia="Times New Roman" w:cstheme="minorHAnsi"/>
                <w:bCs w:val="0"/>
                <w:sz w:val="20"/>
                <w:szCs w:val="20"/>
              </w:rPr>
              <w:t>Other Factors to Consider:</w:t>
            </w:r>
            <w:r w:rsidRPr="001D2705">
              <w:rPr>
                <w:rStyle w:val="Strong"/>
                <w:rFonts w:eastAsia="Times New Roman" w:cstheme="minorHAnsi"/>
                <w:b w:val="0"/>
                <w:sz w:val="20"/>
                <w:szCs w:val="20"/>
              </w:rPr>
              <w:t xml:space="preserve"> </w:t>
            </w:r>
          </w:p>
          <w:p w14:paraId="193DB47A" w14:textId="2A8B803F" w:rsidR="00FB7EF9" w:rsidRDefault="00FB7EF9" w:rsidP="00FB7EF9">
            <w:pPr>
              <w:rPr>
                <w:rStyle w:val="Strong"/>
                <w:rFonts w:eastAsia="Times New Roman" w:cstheme="minorHAnsi"/>
                <w:b w:val="0"/>
                <w:sz w:val="20"/>
                <w:szCs w:val="20"/>
              </w:rPr>
            </w:pPr>
          </w:p>
          <w:p w14:paraId="44C3C927" w14:textId="77777777" w:rsidR="00FB7EF9" w:rsidRDefault="00FB7EF9" w:rsidP="00FB7EF9">
            <w:pPr>
              <w:rPr>
                <w:rStyle w:val="Strong"/>
                <w:rFonts w:eastAsia="Times New Roman" w:cstheme="minorHAnsi"/>
                <w:b w:val="0"/>
                <w:sz w:val="20"/>
                <w:szCs w:val="20"/>
              </w:rPr>
            </w:pPr>
          </w:p>
          <w:p w14:paraId="39B18A88" w14:textId="77777777" w:rsidR="00FB7EF9" w:rsidRDefault="00FB7EF9" w:rsidP="00FB7EF9">
            <w:pPr>
              <w:rPr>
                <w:rStyle w:val="Strong"/>
                <w:rFonts w:eastAsia="Times New Roman" w:cstheme="minorHAnsi"/>
                <w:b w:val="0"/>
                <w:sz w:val="20"/>
                <w:szCs w:val="20"/>
              </w:rPr>
            </w:pPr>
          </w:p>
          <w:p w14:paraId="76715ED3" w14:textId="77777777" w:rsidR="00FB7EF9" w:rsidRDefault="00FB7EF9" w:rsidP="00FB7EF9">
            <w:pPr>
              <w:rPr>
                <w:rStyle w:val="Strong"/>
                <w:rFonts w:eastAsia="Times New Roman" w:cstheme="minorHAnsi"/>
                <w:b w:val="0"/>
                <w:sz w:val="20"/>
                <w:szCs w:val="20"/>
              </w:rPr>
            </w:pPr>
          </w:p>
          <w:p w14:paraId="4E641634" w14:textId="2603AF86" w:rsidR="00FB7EF9" w:rsidRPr="001D2705" w:rsidRDefault="00FB7EF9" w:rsidP="00FB7EF9">
            <w:pPr>
              <w:rPr>
                <w:rStyle w:val="Strong"/>
                <w:rFonts w:eastAsia="Times New Roman" w:cstheme="minorHAnsi"/>
                <w:b w:val="0"/>
                <w:sz w:val="20"/>
                <w:szCs w:val="20"/>
              </w:rPr>
            </w:pPr>
          </w:p>
        </w:tc>
      </w:tr>
      <w:tr w:rsidR="00FB7EF9" w:rsidRPr="00103AAC" w14:paraId="3EA2D6ED" w14:textId="77777777" w:rsidTr="000A4171">
        <w:trPr>
          <w:trHeight w:val="935"/>
        </w:trPr>
        <w:tc>
          <w:tcPr>
            <w:tcW w:w="3870" w:type="dxa"/>
            <w:shd w:val="clear" w:color="auto" w:fill="E7E6E6" w:themeFill="background2"/>
            <w:tcMar>
              <w:top w:w="72" w:type="dxa"/>
              <w:left w:w="115" w:type="dxa"/>
              <w:bottom w:w="72" w:type="dxa"/>
              <w:right w:w="115" w:type="dxa"/>
            </w:tcMar>
            <w:vAlign w:val="center"/>
          </w:tcPr>
          <w:p w14:paraId="2A03CADD" w14:textId="11942EBA" w:rsidR="0090648F" w:rsidRPr="00A97367" w:rsidRDefault="00FB7EF9" w:rsidP="00A97367">
            <w:pPr>
              <w:pStyle w:val="ListParagraph"/>
              <w:numPr>
                <w:ilvl w:val="0"/>
                <w:numId w:val="20"/>
              </w:numPr>
              <w:tabs>
                <w:tab w:val="left" w:pos="1086"/>
                <w:tab w:val="left" w:pos="1445"/>
              </w:tabs>
              <w:spacing w:before="120" w:line="247" w:lineRule="auto"/>
              <w:ind w:left="330"/>
              <w:rPr>
                <w:rFonts w:ascii="Century Gothic" w:hAnsi="Century Gothic"/>
                <w:sz w:val="20"/>
                <w:szCs w:val="20"/>
              </w:rPr>
            </w:pPr>
            <w:r w:rsidRPr="00A97367">
              <w:rPr>
                <w:rFonts w:ascii="Century Gothic" w:hAnsi="Century Gothic"/>
                <w:sz w:val="20"/>
                <w:szCs w:val="20"/>
              </w:rPr>
              <w:lastRenderedPageBreak/>
              <w:t xml:space="preserve">What are the “asks” from the audience? What changes/actions can make a difference? Specifically, how should we move forward with this “issue” area that needs to be advanced? </w:t>
            </w:r>
          </w:p>
          <w:p w14:paraId="4C04A157" w14:textId="7D04537D" w:rsidR="00FB7EF9" w:rsidRPr="00916D8D" w:rsidRDefault="00FB7EF9" w:rsidP="00A97367">
            <w:pPr>
              <w:tabs>
                <w:tab w:val="left" w:pos="1086"/>
                <w:tab w:val="left" w:pos="1445"/>
              </w:tabs>
              <w:spacing w:before="120" w:line="247" w:lineRule="auto"/>
              <w:ind w:left="330"/>
              <w:rPr>
                <w:rFonts w:ascii="Century Gothic" w:hAnsi="Century Gothic"/>
                <w:sz w:val="20"/>
                <w:szCs w:val="20"/>
              </w:rPr>
            </w:pPr>
            <w:r w:rsidRPr="00916D8D">
              <w:rPr>
                <w:rFonts w:ascii="Century Gothic" w:hAnsi="Century Gothic"/>
                <w:sz w:val="20"/>
                <w:szCs w:val="20"/>
              </w:rPr>
              <w:t xml:space="preserve">(Carry to </w:t>
            </w:r>
            <w:r>
              <w:rPr>
                <w:rFonts w:ascii="Century Gothic" w:hAnsi="Century Gothic"/>
                <w:sz w:val="20"/>
                <w:szCs w:val="20"/>
              </w:rPr>
              <w:t>action alert</w:t>
            </w:r>
            <w:r w:rsidRPr="00916D8D">
              <w:rPr>
                <w:rFonts w:ascii="Century Gothic" w:hAnsi="Century Gothic"/>
                <w:sz w:val="20"/>
                <w:szCs w:val="20"/>
              </w:rPr>
              <w:t xml:space="preserve"> worksheet.)</w:t>
            </w:r>
          </w:p>
          <w:p w14:paraId="37395B36" w14:textId="77777777" w:rsidR="00FB7EF9" w:rsidRDefault="00FB7EF9" w:rsidP="00A97367">
            <w:pPr>
              <w:tabs>
                <w:tab w:val="left" w:pos="1086"/>
                <w:tab w:val="left" w:pos="1445"/>
              </w:tabs>
              <w:spacing w:before="120"/>
              <w:ind w:left="330"/>
              <w:rPr>
                <w:rFonts w:ascii="Century Gothic" w:hAnsi="Century Gothic"/>
                <w:sz w:val="16"/>
                <w:szCs w:val="20"/>
              </w:rPr>
            </w:pPr>
            <w:r w:rsidRPr="00916D8D">
              <w:rPr>
                <w:rFonts w:ascii="Century Gothic" w:hAnsi="Century Gothic"/>
                <w:sz w:val="16"/>
                <w:szCs w:val="20"/>
              </w:rPr>
              <w:t>NOTE: Break strategies/actions for change down by target population and provider or setting type</w:t>
            </w:r>
          </w:p>
          <w:p w14:paraId="69415268" w14:textId="2608B5F6" w:rsidR="00FB7EF9" w:rsidRPr="00916D8D" w:rsidRDefault="00FB7EF9" w:rsidP="00FB7EF9">
            <w:pPr>
              <w:tabs>
                <w:tab w:val="left" w:pos="1086"/>
                <w:tab w:val="left" w:pos="1445"/>
              </w:tabs>
              <w:spacing w:before="120"/>
              <w:rPr>
                <w:rFonts w:ascii="Century Gothic" w:hAnsi="Century Gothic"/>
                <w:sz w:val="20"/>
                <w:szCs w:val="20"/>
              </w:rPr>
            </w:pPr>
          </w:p>
        </w:tc>
        <w:tc>
          <w:tcPr>
            <w:tcW w:w="7020" w:type="dxa"/>
            <w:shd w:val="clear" w:color="auto" w:fill="FFFFFF" w:themeFill="background1"/>
            <w:tcMar>
              <w:top w:w="72" w:type="dxa"/>
              <w:bottom w:w="72" w:type="dxa"/>
            </w:tcMar>
            <w:vAlign w:val="center"/>
          </w:tcPr>
          <w:p w14:paraId="0A0360BD" w14:textId="77777777" w:rsidR="00FB7EF9" w:rsidRPr="005D0A0C" w:rsidRDefault="00FB7EF9" w:rsidP="00FB7EF9">
            <w:pPr>
              <w:rPr>
                <w:rStyle w:val="Strong"/>
                <w:rFonts w:ascii="Century Gothic" w:eastAsia="Times New Roman" w:hAnsi="Century Gothic" w:cs="Tahoma"/>
                <w:color w:val="000000"/>
                <w:sz w:val="20"/>
                <w:szCs w:val="20"/>
              </w:rPr>
            </w:pPr>
          </w:p>
        </w:tc>
      </w:tr>
      <w:tr w:rsidR="00FB7EF9" w:rsidRPr="00103AAC" w14:paraId="590450F4" w14:textId="77777777" w:rsidTr="000A4171">
        <w:trPr>
          <w:trHeight w:val="935"/>
        </w:trPr>
        <w:tc>
          <w:tcPr>
            <w:tcW w:w="3870" w:type="dxa"/>
            <w:shd w:val="clear" w:color="auto" w:fill="E7E6E6" w:themeFill="background2"/>
            <w:tcMar>
              <w:top w:w="72" w:type="dxa"/>
              <w:left w:w="115" w:type="dxa"/>
              <w:bottom w:w="72" w:type="dxa"/>
              <w:right w:w="115" w:type="dxa"/>
            </w:tcMar>
            <w:vAlign w:val="center"/>
          </w:tcPr>
          <w:p w14:paraId="10285A34" w14:textId="77777777" w:rsidR="00FB7EF9" w:rsidRDefault="00FB7EF9" w:rsidP="00FB7EF9">
            <w:pPr>
              <w:tabs>
                <w:tab w:val="left" w:pos="1086"/>
                <w:tab w:val="left" w:pos="1445"/>
              </w:tabs>
              <w:spacing w:before="120" w:line="247" w:lineRule="auto"/>
              <w:rPr>
                <w:rFonts w:ascii="Century Gothic" w:hAnsi="Century Gothic"/>
                <w:sz w:val="20"/>
                <w:szCs w:val="20"/>
              </w:rPr>
            </w:pPr>
          </w:p>
          <w:p w14:paraId="746541C4" w14:textId="1E0783F2" w:rsidR="00F63CBA" w:rsidRPr="00A97367" w:rsidRDefault="00F63CBA" w:rsidP="00A97367">
            <w:pPr>
              <w:pStyle w:val="ListParagraph"/>
              <w:numPr>
                <w:ilvl w:val="0"/>
                <w:numId w:val="20"/>
              </w:numPr>
              <w:tabs>
                <w:tab w:val="left" w:pos="1086"/>
                <w:tab w:val="left" w:pos="1445"/>
              </w:tabs>
              <w:spacing w:before="120" w:line="244" w:lineRule="auto"/>
              <w:ind w:left="330"/>
              <w:rPr>
                <w:rFonts w:ascii="Century Gothic" w:hAnsi="Century Gothic"/>
                <w:sz w:val="20"/>
                <w:szCs w:val="20"/>
              </w:rPr>
            </w:pPr>
            <w:r w:rsidRPr="00A97367">
              <w:rPr>
                <w:rFonts w:ascii="Century Gothic" w:hAnsi="Century Gothic"/>
                <w:sz w:val="20"/>
                <w:szCs w:val="20"/>
              </w:rPr>
              <w:t xml:space="preserve">What key message(s) or resources (phone numbers, websites, etc.) need to be communicated or promoted? </w:t>
            </w:r>
          </w:p>
          <w:p w14:paraId="6190A76A" w14:textId="632B3D04" w:rsidR="00F63CBA" w:rsidRDefault="00F63CBA" w:rsidP="00A97367">
            <w:pPr>
              <w:tabs>
                <w:tab w:val="left" w:pos="1086"/>
                <w:tab w:val="left" w:pos="1445"/>
              </w:tabs>
              <w:spacing w:before="120" w:line="244" w:lineRule="auto"/>
              <w:ind w:left="330"/>
              <w:rPr>
                <w:rFonts w:ascii="Century Gothic" w:hAnsi="Century Gothic"/>
                <w:sz w:val="20"/>
                <w:szCs w:val="20"/>
              </w:rPr>
            </w:pPr>
            <w:r>
              <w:rPr>
                <w:rFonts w:ascii="Century Gothic" w:hAnsi="Century Gothic"/>
                <w:sz w:val="20"/>
                <w:szCs w:val="20"/>
              </w:rPr>
              <w:t>(Carry to action alert worksheet.)</w:t>
            </w:r>
          </w:p>
          <w:p w14:paraId="0CD0A330" w14:textId="120BFBB4" w:rsidR="00CB6309" w:rsidRPr="00CB6309" w:rsidRDefault="00CB6309" w:rsidP="00A97367">
            <w:pPr>
              <w:tabs>
                <w:tab w:val="left" w:pos="1086"/>
                <w:tab w:val="left" w:pos="1445"/>
              </w:tabs>
              <w:spacing w:before="120"/>
              <w:ind w:left="330"/>
              <w:rPr>
                <w:rFonts w:ascii="Century Gothic" w:hAnsi="Century Gothic"/>
                <w:sz w:val="16"/>
                <w:szCs w:val="20"/>
              </w:rPr>
            </w:pPr>
            <w:r w:rsidRPr="00916D8D">
              <w:rPr>
                <w:rFonts w:ascii="Century Gothic" w:hAnsi="Century Gothic"/>
                <w:sz w:val="16"/>
                <w:szCs w:val="20"/>
              </w:rPr>
              <w:t xml:space="preserve">NOTE: Break </w:t>
            </w:r>
            <w:r w:rsidR="00801C47">
              <w:rPr>
                <w:rFonts w:ascii="Century Gothic" w:hAnsi="Century Gothic"/>
                <w:sz w:val="16"/>
                <w:szCs w:val="20"/>
              </w:rPr>
              <w:t xml:space="preserve">message </w:t>
            </w:r>
            <w:r w:rsidRPr="00916D8D">
              <w:rPr>
                <w:rFonts w:ascii="Century Gothic" w:hAnsi="Century Gothic"/>
                <w:sz w:val="16"/>
                <w:szCs w:val="20"/>
              </w:rPr>
              <w:t>down by target population and provider or setting type</w:t>
            </w:r>
            <w:r w:rsidR="00801C47">
              <w:rPr>
                <w:rFonts w:ascii="Century Gothic" w:hAnsi="Century Gothic"/>
                <w:sz w:val="16"/>
                <w:szCs w:val="20"/>
              </w:rPr>
              <w:t>, if appropriate.</w:t>
            </w:r>
          </w:p>
          <w:p w14:paraId="6BA51BAF" w14:textId="0573816D" w:rsidR="00FB7EF9" w:rsidRPr="00916D8D" w:rsidRDefault="00F63CBA" w:rsidP="00F63CBA">
            <w:pPr>
              <w:tabs>
                <w:tab w:val="left" w:pos="1086"/>
                <w:tab w:val="left" w:pos="1445"/>
              </w:tabs>
              <w:spacing w:before="120"/>
              <w:rPr>
                <w:rFonts w:ascii="Century Gothic" w:hAnsi="Century Gothic"/>
                <w:sz w:val="20"/>
                <w:szCs w:val="20"/>
              </w:rPr>
            </w:pPr>
            <w:r w:rsidRPr="00916D8D">
              <w:rPr>
                <w:rFonts w:ascii="Century Gothic" w:hAnsi="Century Gothic"/>
                <w:sz w:val="20"/>
                <w:szCs w:val="20"/>
              </w:rPr>
              <w:t xml:space="preserve"> </w:t>
            </w:r>
          </w:p>
        </w:tc>
        <w:tc>
          <w:tcPr>
            <w:tcW w:w="7020" w:type="dxa"/>
            <w:shd w:val="clear" w:color="auto" w:fill="FFFFFF" w:themeFill="background1"/>
            <w:tcMar>
              <w:top w:w="72" w:type="dxa"/>
              <w:bottom w:w="72" w:type="dxa"/>
            </w:tcMar>
            <w:vAlign w:val="center"/>
          </w:tcPr>
          <w:p w14:paraId="382405EE" w14:textId="77777777" w:rsidR="00FB7EF9" w:rsidRPr="00103AAC" w:rsidRDefault="00FB7EF9" w:rsidP="00FB7EF9">
            <w:pPr>
              <w:rPr>
                <w:rStyle w:val="Strong"/>
                <w:rFonts w:ascii="Century Gothic" w:eastAsia="Times New Roman" w:hAnsi="Century Gothic" w:cs="Tahoma"/>
                <w:color w:val="000000"/>
                <w:szCs w:val="24"/>
              </w:rPr>
            </w:pPr>
          </w:p>
        </w:tc>
      </w:tr>
      <w:tr w:rsidR="00FB7EF9" w:rsidRPr="00103AAC" w14:paraId="288E47AB" w14:textId="77777777" w:rsidTr="00B80DB8">
        <w:trPr>
          <w:trHeight w:val="728"/>
        </w:trPr>
        <w:tc>
          <w:tcPr>
            <w:tcW w:w="3870" w:type="dxa"/>
            <w:shd w:val="clear" w:color="auto" w:fill="E7E6E6" w:themeFill="background2"/>
            <w:tcMar>
              <w:top w:w="72" w:type="dxa"/>
              <w:left w:w="115" w:type="dxa"/>
              <w:bottom w:w="72" w:type="dxa"/>
              <w:right w:w="115" w:type="dxa"/>
            </w:tcMar>
            <w:vAlign w:val="center"/>
          </w:tcPr>
          <w:p w14:paraId="3A9B0480" w14:textId="444C3196" w:rsidR="00FB7EF9" w:rsidRPr="00A97367" w:rsidRDefault="00FB7EF9" w:rsidP="00A97367">
            <w:pPr>
              <w:pStyle w:val="ListParagraph"/>
              <w:numPr>
                <w:ilvl w:val="0"/>
                <w:numId w:val="20"/>
              </w:numPr>
              <w:tabs>
                <w:tab w:val="left" w:pos="1086"/>
                <w:tab w:val="left" w:pos="1445"/>
              </w:tabs>
              <w:spacing w:before="120"/>
              <w:ind w:left="330"/>
              <w:rPr>
                <w:rFonts w:ascii="Century Gothic" w:hAnsi="Century Gothic"/>
                <w:sz w:val="20"/>
                <w:szCs w:val="20"/>
              </w:rPr>
            </w:pPr>
            <w:r w:rsidRPr="00A97367">
              <w:rPr>
                <w:rFonts w:ascii="Century Gothic" w:hAnsi="Century Gothic"/>
                <w:sz w:val="20"/>
                <w:szCs w:val="20"/>
              </w:rPr>
              <w:t xml:space="preserve">Sources/References </w:t>
            </w:r>
          </w:p>
        </w:tc>
        <w:tc>
          <w:tcPr>
            <w:tcW w:w="7020" w:type="dxa"/>
            <w:shd w:val="clear" w:color="auto" w:fill="FFFFFF" w:themeFill="background1"/>
            <w:tcMar>
              <w:top w:w="72" w:type="dxa"/>
              <w:bottom w:w="72" w:type="dxa"/>
            </w:tcMar>
            <w:vAlign w:val="center"/>
          </w:tcPr>
          <w:p w14:paraId="6A498867" w14:textId="77777777" w:rsidR="00FB7EF9" w:rsidRDefault="00FB7EF9" w:rsidP="00FB7EF9">
            <w:pPr>
              <w:rPr>
                <w:rStyle w:val="Strong"/>
                <w:rFonts w:ascii="Century Gothic" w:eastAsia="Times New Roman" w:hAnsi="Century Gothic" w:cs="Tahoma"/>
                <w:color w:val="000000"/>
                <w:szCs w:val="24"/>
              </w:rPr>
            </w:pPr>
          </w:p>
          <w:p w14:paraId="5D96144B" w14:textId="77777777" w:rsidR="00FB7EF9" w:rsidRDefault="00FB7EF9" w:rsidP="00FB7EF9">
            <w:pPr>
              <w:rPr>
                <w:rStyle w:val="Strong"/>
                <w:rFonts w:eastAsia="Times New Roman" w:cs="Tahoma"/>
                <w:color w:val="000000"/>
                <w:szCs w:val="24"/>
              </w:rPr>
            </w:pPr>
          </w:p>
          <w:p w14:paraId="3A330866" w14:textId="77777777" w:rsidR="00FB7EF9" w:rsidRDefault="00FB7EF9" w:rsidP="00FB7EF9">
            <w:pPr>
              <w:rPr>
                <w:rStyle w:val="Strong"/>
                <w:rFonts w:eastAsia="Times New Roman" w:cs="Tahoma"/>
                <w:color w:val="000000"/>
                <w:szCs w:val="24"/>
              </w:rPr>
            </w:pPr>
          </w:p>
          <w:p w14:paraId="753989B8" w14:textId="77777777" w:rsidR="00FB7EF9" w:rsidRDefault="00FB7EF9" w:rsidP="00FB7EF9">
            <w:pPr>
              <w:rPr>
                <w:rStyle w:val="Strong"/>
                <w:rFonts w:eastAsia="Times New Roman" w:cs="Tahoma"/>
                <w:color w:val="000000"/>
                <w:szCs w:val="24"/>
              </w:rPr>
            </w:pPr>
          </w:p>
          <w:p w14:paraId="68087C1D" w14:textId="3B6548D6" w:rsidR="00FB7EF9" w:rsidRPr="00103AAC" w:rsidRDefault="00FB7EF9" w:rsidP="00FB7EF9">
            <w:pPr>
              <w:rPr>
                <w:rStyle w:val="Strong"/>
                <w:rFonts w:ascii="Century Gothic" w:eastAsia="Times New Roman" w:hAnsi="Century Gothic" w:cs="Tahoma"/>
                <w:color w:val="000000"/>
                <w:szCs w:val="24"/>
              </w:rPr>
            </w:pPr>
          </w:p>
        </w:tc>
      </w:tr>
    </w:tbl>
    <w:p w14:paraId="61956D25" w14:textId="4E6479C8" w:rsidR="00AD1E49" w:rsidRDefault="00AD1E49" w:rsidP="00B80DB8">
      <w:pPr>
        <w:tabs>
          <w:tab w:val="left" w:pos="1086"/>
          <w:tab w:val="left" w:pos="1445"/>
        </w:tabs>
        <w:spacing w:after="0" w:line="240" w:lineRule="auto"/>
        <w:rPr>
          <w:rFonts w:ascii="Century Gothic" w:hAnsi="Century Gothic" w:cs="Calibri"/>
          <w:b/>
          <w:color w:val="404040" w:themeColor="text1" w:themeTint="BF"/>
          <w:sz w:val="24"/>
          <w:szCs w:val="24"/>
        </w:rPr>
      </w:pPr>
      <w:r>
        <w:rPr>
          <w:rFonts w:ascii="Century Gothic" w:hAnsi="Century Gothic" w:cs="Calibri"/>
          <w:b/>
          <w:color w:val="404040" w:themeColor="text1" w:themeTint="BF"/>
          <w:sz w:val="24"/>
          <w:szCs w:val="24"/>
        </w:rPr>
        <w:lastRenderedPageBreak/>
        <w:t xml:space="preserve">MCH State Action Plan Objectives: </w:t>
      </w:r>
    </w:p>
    <w:p w14:paraId="6A794CD0" w14:textId="77777777" w:rsidR="00AD1E49" w:rsidRPr="00AD1E49" w:rsidRDefault="00AD1E49" w:rsidP="00B80DB8">
      <w:pPr>
        <w:pStyle w:val="ListParagraph"/>
        <w:numPr>
          <w:ilvl w:val="0"/>
          <w:numId w:val="18"/>
        </w:numPr>
        <w:tabs>
          <w:tab w:val="left" w:pos="1086"/>
          <w:tab w:val="left" w:pos="1445"/>
        </w:tabs>
        <w:spacing w:after="0" w:line="240" w:lineRule="auto"/>
        <w:rPr>
          <w:sz w:val="20"/>
          <w:szCs w:val="20"/>
        </w:rPr>
      </w:pPr>
      <w:r w:rsidRPr="00AD1E49">
        <w:rPr>
          <w:sz w:val="20"/>
          <w:szCs w:val="20"/>
        </w:rPr>
        <w:t>Increase family satisfaction with the communication among their child’s doctors and other health providers to 75% by 2020.</w:t>
      </w:r>
    </w:p>
    <w:p w14:paraId="50C4EA16" w14:textId="77777777" w:rsidR="00AD1E49" w:rsidRPr="00AD1E49" w:rsidRDefault="00AD1E49" w:rsidP="00B80DB8">
      <w:pPr>
        <w:pStyle w:val="ListParagraph"/>
        <w:numPr>
          <w:ilvl w:val="0"/>
          <w:numId w:val="18"/>
        </w:numPr>
        <w:tabs>
          <w:tab w:val="left" w:pos="1086"/>
          <w:tab w:val="left" w:pos="1445"/>
        </w:tabs>
        <w:spacing w:after="0" w:line="240" w:lineRule="auto"/>
        <w:rPr>
          <w:sz w:val="20"/>
          <w:szCs w:val="20"/>
        </w:rPr>
      </w:pPr>
      <w:r w:rsidRPr="00AD1E49">
        <w:rPr>
          <w:sz w:val="20"/>
          <w:szCs w:val="20"/>
        </w:rPr>
        <w:t xml:space="preserve">Increase the proportion of families who receive care coordination supports through cross-system collaboration by 25% by 2020. </w:t>
      </w:r>
    </w:p>
    <w:p w14:paraId="55FE6059" w14:textId="6177ECD1" w:rsidR="00AD1E49" w:rsidRPr="00AD1E49" w:rsidRDefault="00AD1E49" w:rsidP="00B80DB8">
      <w:pPr>
        <w:pStyle w:val="ListParagraph"/>
        <w:numPr>
          <w:ilvl w:val="0"/>
          <w:numId w:val="18"/>
        </w:numPr>
        <w:tabs>
          <w:tab w:val="left" w:pos="1086"/>
          <w:tab w:val="left" w:pos="1445"/>
        </w:tabs>
        <w:spacing w:after="0" w:line="240" w:lineRule="auto"/>
        <w:rPr>
          <w:sz w:val="20"/>
          <w:szCs w:val="20"/>
        </w:rPr>
      </w:pPr>
      <w:r w:rsidRPr="00AD1E49">
        <w:rPr>
          <w:sz w:val="20"/>
          <w:szCs w:val="20"/>
        </w:rPr>
        <w:t>Develop an outreach plan to engage partners, providers, and families in the utilization of a shared resource to empower, equip, and assist families to navigate systems for optimal health outcomes by 2020.</w:t>
      </w:r>
    </w:p>
    <w:p w14:paraId="340A1121" w14:textId="77777777" w:rsidR="00AD1E49" w:rsidRPr="00AD1E49" w:rsidRDefault="00AD1E49" w:rsidP="00B80DB8">
      <w:pPr>
        <w:pStyle w:val="ListParagraph"/>
        <w:tabs>
          <w:tab w:val="left" w:pos="1086"/>
          <w:tab w:val="left" w:pos="1445"/>
        </w:tabs>
        <w:spacing w:after="0" w:line="240" w:lineRule="auto"/>
        <w:rPr>
          <w:rFonts w:ascii="Century Gothic" w:hAnsi="Century Gothic" w:cs="Calibri"/>
          <w:b/>
          <w:color w:val="404040" w:themeColor="text1" w:themeTint="BF"/>
          <w:sz w:val="24"/>
          <w:szCs w:val="24"/>
        </w:rPr>
      </w:pPr>
    </w:p>
    <w:p w14:paraId="1804D391" w14:textId="7C1550D1" w:rsidR="000753E7" w:rsidRDefault="000753E7" w:rsidP="00B80DB8">
      <w:pPr>
        <w:tabs>
          <w:tab w:val="left" w:pos="1086"/>
          <w:tab w:val="left" w:pos="1445"/>
        </w:tabs>
        <w:spacing w:after="0" w:line="240" w:lineRule="auto"/>
        <w:rPr>
          <w:rFonts w:ascii="Century Gothic" w:hAnsi="Century Gothic" w:cs="Calibri"/>
          <w:b/>
          <w:color w:val="404040" w:themeColor="text1" w:themeTint="BF"/>
          <w:sz w:val="24"/>
          <w:szCs w:val="24"/>
        </w:rPr>
      </w:pPr>
      <w:r>
        <w:rPr>
          <w:rFonts w:ascii="Century Gothic" w:hAnsi="Century Gothic" w:cs="Calibri"/>
          <w:b/>
          <w:color w:val="404040" w:themeColor="text1" w:themeTint="BF"/>
          <w:sz w:val="24"/>
          <w:szCs w:val="24"/>
        </w:rPr>
        <w:t xml:space="preserve">What, if any recommendations, does the group have for the MCH State Action Plan related to this issue? Consider and discuss the following: </w:t>
      </w:r>
    </w:p>
    <w:p w14:paraId="58CA6B91" w14:textId="77777777" w:rsidR="009A1007" w:rsidRPr="000753E7" w:rsidRDefault="009A1007" w:rsidP="00B80DB8">
      <w:pPr>
        <w:tabs>
          <w:tab w:val="left" w:pos="1086"/>
          <w:tab w:val="left" w:pos="1445"/>
        </w:tabs>
        <w:spacing w:after="0" w:line="240" w:lineRule="auto"/>
        <w:rPr>
          <w:rFonts w:ascii="Century Gothic" w:hAnsi="Century Gothic" w:cs="Calibri"/>
          <w:b/>
          <w:color w:val="404040" w:themeColor="text1" w:themeTint="BF"/>
          <w:sz w:val="24"/>
          <w:szCs w:val="24"/>
        </w:rPr>
      </w:pPr>
    </w:p>
    <w:tbl>
      <w:tblPr>
        <w:tblStyle w:val="TableGrid"/>
        <w:tblW w:w="10890" w:type="dxa"/>
        <w:tblInd w:w="-5" w:type="dxa"/>
        <w:shd w:val="clear" w:color="auto" w:fill="D0CECE" w:themeFill="background2" w:themeFillShade="E6"/>
        <w:tblLook w:val="04A0" w:firstRow="1" w:lastRow="0" w:firstColumn="1" w:lastColumn="0" w:noHBand="0" w:noVBand="1"/>
      </w:tblPr>
      <w:tblGrid>
        <w:gridCol w:w="3870"/>
        <w:gridCol w:w="3510"/>
        <w:gridCol w:w="3510"/>
      </w:tblGrid>
      <w:tr w:rsidR="00FB7EF9" w:rsidRPr="00103AAC" w14:paraId="63A3D631" w14:textId="77777777" w:rsidTr="0000613D">
        <w:trPr>
          <w:trHeight w:val="935"/>
        </w:trPr>
        <w:tc>
          <w:tcPr>
            <w:tcW w:w="3870" w:type="dxa"/>
            <w:shd w:val="clear" w:color="auto" w:fill="E7E6E6" w:themeFill="background2"/>
            <w:tcMar>
              <w:top w:w="72" w:type="dxa"/>
              <w:left w:w="115" w:type="dxa"/>
              <w:bottom w:w="72" w:type="dxa"/>
              <w:right w:w="115" w:type="dxa"/>
            </w:tcMar>
            <w:vAlign w:val="center"/>
          </w:tcPr>
          <w:p w14:paraId="66EFE57D" w14:textId="47D38D98" w:rsidR="00FB7EF9" w:rsidRDefault="00FB7EF9" w:rsidP="00FB7EF9">
            <w:pPr>
              <w:tabs>
                <w:tab w:val="left" w:pos="1086"/>
                <w:tab w:val="left" w:pos="1445"/>
              </w:tabs>
              <w:rPr>
                <w:rFonts w:ascii="Century Gothic" w:hAnsi="Century Gothic" w:cs="Calibri"/>
                <w:color w:val="404040" w:themeColor="text1" w:themeTint="BF"/>
                <w:sz w:val="20"/>
                <w:szCs w:val="20"/>
              </w:rPr>
            </w:pPr>
            <w:r w:rsidRPr="000753E7">
              <w:rPr>
                <w:rFonts w:ascii="Century Gothic" w:hAnsi="Century Gothic" w:cs="Calibri"/>
                <w:color w:val="404040" w:themeColor="text1" w:themeTint="BF"/>
                <w:sz w:val="20"/>
                <w:szCs w:val="20"/>
              </w:rPr>
              <w:t xml:space="preserve">Is </w:t>
            </w:r>
            <w:r>
              <w:rPr>
                <w:rFonts w:ascii="Century Gothic" w:hAnsi="Century Gothic" w:cs="Calibri"/>
                <w:color w:val="404040" w:themeColor="text1" w:themeTint="BF"/>
                <w:sz w:val="20"/>
                <w:szCs w:val="20"/>
              </w:rPr>
              <w:t>the issue/need</w:t>
            </w:r>
            <w:r w:rsidRPr="000753E7">
              <w:rPr>
                <w:rFonts w:ascii="Century Gothic" w:hAnsi="Century Gothic" w:cs="Calibri"/>
                <w:color w:val="404040" w:themeColor="text1" w:themeTint="BF"/>
                <w:sz w:val="20"/>
                <w:szCs w:val="20"/>
              </w:rPr>
              <w:t xml:space="preserve"> adequately addressed in the plan? </w:t>
            </w:r>
          </w:p>
          <w:p w14:paraId="24AC31A0" w14:textId="44937EB6" w:rsidR="00FB7EF9" w:rsidRPr="000753E7" w:rsidRDefault="00FB7EF9" w:rsidP="00FB7EF9">
            <w:pPr>
              <w:tabs>
                <w:tab w:val="left" w:pos="1086"/>
                <w:tab w:val="left" w:pos="1445"/>
              </w:tabs>
              <w:rPr>
                <w:rFonts w:ascii="Century Gothic" w:hAnsi="Century Gothic" w:cs="Calibri"/>
                <w:color w:val="404040" w:themeColor="text1" w:themeTint="BF"/>
                <w:sz w:val="20"/>
                <w:szCs w:val="20"/>
              </w:rPr>
            </w:pPr>
            <w:r>
              <w:rPr>
                <w:rFonts w:ascii="Century Gothic" w:hAnsi="Century Gothic" w:cs="Calibri"/>
                <w:color w:val="404040" w:themeColor="text1" w:themeTint="BF"/>
                <w:sz w:val="20"/>
                <w:szCs w:val="20"/>
              </w:rPr>
              <w:t>Circle one (yes or no) and explain.</w:t>
            </w:r>
          </w:p>
        </w:tc>
        <w:tc>
          <w:tcPr>
            <w:tcW w:w="3510" w:type="dxa"/>
            <w:shd w:val="clear" w:color="auto" w:fill="FFFFFF" w:themeFill="background1"/>
            <w:tcMar>
              <w:top w:w="72" w:type="dxa"/>
              <w:bottom w:w="72" w:type="dxa"/>
            </w:tcMar>
          </w:tcPr>
          <w:p w14:paraId="7B4011A1" w14:textId="77777777" w:rsidR="00FB7EF9" w:rsidRDefault="00FB7EF9" w:rsidP="00FB7EF9">
            <w:pPr>
              <w:spacing w:before="40"/>
              <w:jc w:val="center"/>
              <w:rPr>
                <w:rStyle w:val="Strong"/>
                <w:rFonts w:eastAsia="Times New Roman" w:cs="Tahoma"/>
                <w:b w:val="0"/>
                <w:color w:val="000000"/>
                <w:sz w:val="20"/>
                <w:szCs w:val="20"/>
              </w:rPr>
            </w:pPr>
            <w:r w:rsidRPr="005D0A0C">
              <w:rPr>
                <w:rStyle w:val="Strong"/>
                <w:rFonts w:eastAsia="Times New Roman" w:cs="Tahoma"/>
                <w:b w:val="0"/>
                <w:color w:val="000000"/>
                <w:sz w:val="20"/>
                <w:szCs w:val="20"/>
              </w:rPr>
              <w:t>Yes</w:t>
            </w:r>
          </w:p>
          <w:p w14:paraId="72B6E84F" w14:textId="1CFEEFBE" w:rsidR="00FB7EF9" w:rsidRPr="005D0A0C" w:rsidRDefault="00FB7EF9" w:rsidP="00FB7EF9">
            <w:pPr>
              <w:jc w:val="center"/>
              <w:rPr>
                <w:rStyle w:val="Strong"/>
                <w:rFonts w:eastAsia="Times New Roman" w:cs="Tahoma"/>
                <w:b w:val="0"/>
                <w:color w:val="000000"/>
                <w:sz w:val="20"/>
                <w:szCs w:val="20"/>
              </w:rPr>
            </w:pPr>
          </w:p>
        </w:tc>
        <w:tc>
          <w:tcPr>
            <w:tcW w:w="3510" w:type="dxa"/>
            <w:shd w:val="clear" w:color="auto" w:fill="FFFFFF" w:themeFill="background1"/>
          </w:tcPr>
          <w:p w14:paraId="6DFB0905" w14:textId="39C5C1EA" w:rsidR="00FB7EF9" w:rsidRPr="005D0A0C" w:rsidRDefault="00FB7EF9" w:rsidP="00FB7EF9">
            <w:pPr>
              <w:jc w:val="center"/>
              <w:rPr>
                <w:rStyle w:val="Strong"/>
                <w:rFonts w:eastAsia="Times New Roman" w:cs="Tahoma"/>
                <w:b w:val="0"/>
                <w:color w:val="000000"/>
                <w:sz w:val="20"/>
                <w:szCs w:val="20"/>
              </w:rPr>
            </w:pPr>
            <w:r w:rsidRPr="005D0A0C">
              <w:rPr>
                <w:rStyle w:val="Strong"/>
                <w:rFonts w:eastAsia="Times New Roman" w:cs="Tahoma"/>
                <w:b w:val="0"/>
                <w:color w:val="000000"/>
                <w:sz w:val="20"/>
                <w:szCs w:val="20"/>
              </w:rPr>
              <w:t>No</w:t>
            </w:r>
          </w:p>
        </w:tc>
      </w:tr>
      <w:tr w:rsidR="00FB7EF9" w:rsidRPr="00103AAC" w14:paraId="1427D14E" w14:textId="77777777" w:rsidTr="0000613D">
        <w:trPr>
          <w:trHeight w:val="278"/>
        </w:trPr>
        <w:tc>
          <w:tcPr>
            <w:tcW w:w="3870" w:type="dxa"/>
            <w:shd w:val="clear" w:color="auto" w:fill="E7E6E6" w:themeFill="background2"/>
            <w:tcMar>
              <w:top w:w="72" w:type="dxa"/>
              <w:left w:w="115" w:type="dxa"/>
              <w:bottom w:w="72" w:type="dxa"/>
              <w:right w:w="115" w:type="dxa"/>
            </w:tcMar>
            <w:vAlign w:val="center"/>
          </w:tcPr>
          <w:p w14:paraId="01D48862" w14:textId="77777777" w:rsidR="00FB7EF9" w:rsidRPr="000753E7" w:rsidRDefault="00FB7EF9" w:rsidP="00FB7EF9">
            <w:pPr>
              <w:tabs>
                <w:tab w:val="left" w:pos="1086"/>
                <w:tab w:val="left" w:pos="1445"/>
              </w:tabs>
              <w:rPr>
                <w:rFonts w:ascii="Century Gothic" w:hAnsi="Century Gothic" w:cs="Calibri"/>
                <w:color w:val="404040" w:themeColor="text1" w:themeTint="BF"/>
                <w:sz w:val="20"/>
                <w:szCs w:val="20"/>
              </w:rPr>
            </w:pPr>
            <w:r w:rsidRPr="000753E7">
              <w:rPr>
                <w:rFonts w:ascii="Century Gothic" w:hAnsi="Century Gothic" w:cs="Calibri"/>
                <w:color w:val="404040" w:themeColor="text1" w:themeTint="BF"/>
                <w:sz w:val="20"/>
                <w:szCs w:val="20"/>
              </w:rPr>
              <w:t>Does the group recommend any strategies to advance the work or improve the outcomes/measures?</w:t>
            </w:r>
          </w:p>
          <w:p w14:paraId="2804595B" w14:textId="2D747FAF" w:rsidR="00FB7EF9" w:rsidRPr="000753E7" w:rsidRDefault="00FB7EF9" w:rsidP="00FB7EF9">
            <w:pPr>
              <w:tabs>
                <w:tab w:val="left" w:pos="1086"/>
                <w:tab w:val="left" w:pos="1445"/>
              </w:tabs>
              <w:rPr>
                <w:rFonts w:ascii="Century Gothic" w:hAnsi="Century Gothic" w:cs="Calibri"/>
                <w:color w:val="404040" w:themeColor="text1" w:themeTint="BF"/>
                <w:sz w:val="20"/>
                <w:szCs w:val="20"/>
              </w:rPr>
            </w:pPr>
            <w:r>
              <w:rPr>
                <w:rFonts w:ascii="Century Gothic" w:hAnsi="Century Gothic" w:cs="Calibri"/>
                <w:color w:val="404040" w:themeColor="text1" w:themeTint="BF"/>
                <w:sz w:val="20"/>
                <w:szCs w:val="20"/>
              </w:rPr>
              <w:t>Circle one (yes or no) and explain.</w:t>
            </w:r>
          </w:p>
        </w:tc>
        <w:tc>
          <w:tcPr>
            <w:tcW w:w="3510" w:type="dxa"/>
            <w:shd w:val="clear" w:color="auto" w:fill="FFFFFF" w:themeFill="background1"/>
            <w:tcMar>
              <w:top w:w="72" w:type="dxa"/>
              <w:bottom w:w="72" w:type="dxa"/>
            </w:tcMar>
          </w:tcPr>
          <w:p w14:paraId="49E4AF0E" w14:textId="736BFD7E" w:rsidR="00FB7EF9" w:rsidRPr="005D0A0C" w:rsidRDefault="00FB7EF9" w:rsidP="00FB7EF9">
            <w:pPr>
              <w:jc w:val="center"/>
              <w:rPr>
                <w:rStyle w:val="Strong"/>
                <w:rFonts w:eastAsia="Times New Roman" w:cs="Tahoma"/>
                <w:b w:val="0"/>
                <w:color w:val="000000"/>
                <w:sz w:val="20"/>
                <w:szCs w:val="20"/>
              </w:rPr>
            </w:pPr>
            <w:r w:rsidRPr="005D0A0C">
              <w:rPr>
                <w:rStyle w:val="Strong"/>
                <w:rFonts w:eastAsia="Times New Roman" w:cs="Tahoma"/>
                <w:b w:val="0"/>
                <w:color w:val="000000"/>
                <w:sz w:val="20"/>
                <w:szCs w:val="20"/>
              </w:rPr>
              <w:t>Yes</w:t>
            </w:r>
          </w:p>
        </w:tc>
        <w:tc>
          <w:tcPr>
            <w:tcW w:w="3510" w:type="dxa"/>
            <w:shd w:val="clear" w:color="auto" w:fill="FFFFFF" w:themeFill="background1"/>
          </w:tcPr>
          <w:p w14:paraId="651C925C" w14:textId="4BCB8112" w:rsidR="00FB7EF9" w:rsidRPr="005D0A0C" w:rsidRDefault="00FB7EF9" w:rsidP="00FB7EF9">
            <w:pPr>
              <w:jc w:val="center"/>
              <w:rPr>
                <w:rStyle w:val="Strong"/>
                <w:rFonts w:eastAsia="Times New Roman" w:cs="Tahoma"/>
                <w:b w:val="0"/>
                <w:color w:val="000000"/>
                <w:sz w:val="20"/>
                <w:szCs w:val="20"/>
              </w:rPr>
            </w:pPr>
            <w:r w:rsidRPr="005D0A0C">
              <w:rPr>
                <w:rStyle w:val="Strong"/>
                <w:rFonts w:eastAsia="Times New Roman" w:cs="Tahoma"/>
                <w:b w:val="0"/>
                <w:color w:val="000000"/>
                <w:sz w:val="20"/>
                <w:szCs w:val="20"/>
              </w:rPr>
              <w:t>No</w:t>
            </w:r>
          </w:p>
        </w:tc>
      </w:tr>
    </w:tbl>
    <w:p w14:paraId="697CD8CE" w14:textId="77777777" w:rsidR="001D2705" w:rsidRDefault="001D2705" w:rsidP="00B80DB8">
      <w:pPr>
        <w:tabs>
          <w:tab w:val="left" w:pos="1086"/>
          <w:tab w:val="left" w:pos="1445"/>
        </w:tabs>
        <w:spacing w:after="0" w:line="240" w:lineRule="auto"/>
        <w:rPr>
          <w:rFonts w:ascii="Century Gothic" w:hAnsi="Century Gothic" w:cs="Calibri"/>
          <w:b/>
          <w:color w:val="404040" w:themeColor="text1" w:themeTint="BF"/>
          <w:sz w:val="24"/>
          <w:szCs w:val="24"/>
        </w:rPr>
      </w:pPr>
    </w:p>
    <w:p w14:paraId="544CFBCD" w14:textId="77777777" w:rsidR="00FB7EF9" w:rsidRDefault="00FB7EF9" w:rsidP="00FB7EF9">
      <w:pPr>
        <w:rPr>
          <w:rFonts w:ascii="Century Gothic" w:hAnsi="Century Gothic" w:cs="Calibri"/>
          <w:b/>
          <w:color w:val="404040" w:themeColor="text1" w:themeTint="BF"/>
          <w:sz w:val="24"/>
          <w:szCs w:val="24"/>
        </w:rPr>
      </w:pPr>
    </w:p>
    <w:p w14:paraId="43DDDFA4" w14:textId="1BACEEAC" w:rsidR="001D2705" w:rsidRDefault="00B80DB8" w:rsidP="00FB7EF9">
      <w:pPr>
        <w:rPr>
          <w:rFonts w:ascii="Century Gothic" w:hAnsi="Century Gothic" w:cs="Calibri"/>
          <w:b/>
          <w:color w:val="404040" w:themeColor="text1" w:themeTint="BF"/>
          <w:sz w:val="24"/>
          <w:szCs w:val="24"/>
        </w:rPr>
      </w:pPr>
      <w:r>
        <w:rPr>
          <w:rFonts w:ascii="Century Gothic" w:hAnsi="Century Gothic" w:cs="Calibri"/>
          <w:b/>
          <w:color w:val="404040" w:themeColor="text1" w:themeTint="BF"/>
          <w:sz w:val="24"/>
          <w:szCs w:val="24"/>
        </w:rPr>
        <w:t xml:space="preserve">Significance &amp; Data: </w:t>
      </w:r>
    </w:p>
    <w:p w14:paraId="37A88C3C" w14:textId="580D3BC2" w:rsidR="00B80DB8" w:rsidRDefault="00FB7EF9" w:rsidP="00B80DB8">
      <w:pPr>
        <w:tabs>
          <w:tab w:val="left" w:pos="1086"/>
          <w:tab w:val="left" w:pos="1445"/>
        </w:tabs>
        <w:spacing w:after="0" w:line="240" w:lineRule="auto"/>
        <w:rPr>
          <w:sz w:val="20"/>
          <w:szCs w:val="20"/>
        </w:rPr>
      </w:pPr>
      <w:r w:rsidRPr="005B5E49">
        <w:rPr>
          <w:rFonts w:ascii="Century Gothic" w:hAnsi="Century Gothic" w:cs="Calibri"/>
          <w:b/>
          <w:noProof/>
          <w:color w:val="404040" w:themeColor="text1" w:themeTint="BF"/>
          <w:sz w:val="24"/>
          <w:szCs w:val="24"/>
        </w:rPr>
        <w:drawing>
          <wp:anchor distT="0" distB="0" distL="114300" distR="114300" simplePos="0" relativeHeight="251661312" behindDoc="0" locked="0" layoutInCell="1" allowOverlap="1" wp14:anchorId="0E8AD7C1" wp14:editId="02413C24">
            <wp:simplePos x="0" y="0"/>
            <wp:positionH relativeFrom="margin">
              <wp:align>center</wp:align>
            </wp:positionH>
            <wp:positionV relativeFrom="paragraph">
              <wp:posOffset>1035050</wp:posOffset>
            </wp:positionV>
            <wp:extent cx="5581309" cy="326707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b="46278"/>
                    <a:stretch/>
                  </pic:blipFill>
                  <pic:spPr bwMode="auto">
                    <a:xfrm>
                      <a:off x="0" y="0"/>
                      <a:ext cx="5581309"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0DB8" w:rsidRPr="00B80DB8">
        <w:rPr>
          <w:sz w:val="20"/>
          <w:szCs w:val="20"/>
        </w:rPr>
        <w:t xml:space="preserve">The American Academy of Pediatrics (AAP) specifies seven qualities essential to medical home care, which include accessible, family-centered, continuous, comprehensive, coordinated, compassionate and culturally effective. Providing comprehensive and coordinated care to children in a medical home is the standard of pediatric practice. The Maternal and Child Health Bureau uses the AAP definition of medical home. </w:t>
      </w:r>
      <w:hyperlink r:id="rId9" w:history="1">
        <w:r w:rsidR="00B80DB8" w:rsidRPr="00FD1A85">
          <w:rPr>
            <w:rStyle w:val="Hyperlink"/>
            <w:sz w:val="20"/>
            <w:szCs w:val="20"/>
          </w:rPr>
          <w:t>www.medicalhomeinfo.aap.org</w:t>
        </w:r>
      </w:hyperlink>
      <w:r w:rsidR="00B80DB8">
        <w:rPr>
          <w:sz w:val="20"/>
          <w:szCs w:val="20"/>
        </w:rPr>
        <w:t xml:space="preserve"> </w:t>
      </w:r>
    </w:p>
    <w:p w14:paraId="0EBA62A9" w14:textId="0A22000F" w:rsidR="000973A4" w:rsidRDefault="000973A4" w:rsidP="00B80DB8">
      <w:pPr>
        <w:tabs>
          <w:tab w:val="left" w:pos="1086"/>
          <w:tab w:val="left" w:pos="1445"/>
        </w:tabs>
        <w:spacing w:after="0" w:line="240" w:lineRule="auto"/>
        <w:rPr>
          <w:sz w:val="20"/>
          <w:szCs w:val="20"/>
        </w:rPr>
      </w:pPr>
    </w:p>
    <w:p w14:paraId="5568E4FD" w14:textId="342597D3" w:rsidR="000973A4" w:rsidRDefault="000973A4" w:rsidP="00B80DB8">
      <w:pPr>
        <w:tabs>
          <w:tab w:val="left" w:pos="1086"/>
          <w:tab w:val="left" w:pos="1445"/>
        </w:tabs>
        <w:spacing w:after="0" w:line="240" w:lineRule="auto"/>
        <w:rPr>
          <w:sz w:val="20"/>
          <w:szCs w:val="20"/>
        </w:rPr>
      </w:pPr>
    </w:p>
    <w:p w14:paraId="213E524B" w14:textId="6EE7DC83" w:rsidR="000973A4" w:rsidRDefault="000973A4" w:rsidP="00B80DB8">
      <w:pPr>
        <w:tabs>
          <w:tab w:val="left" w:pos="1086"/>
          <w:tab w:val="left" w:pos="1445"/>
        </w:tabs>
        <w:spacing w:after="0" w:line="240" w:lineRule="auto"/>
        <w:rPr>
          <w:sz w:val="20"/>
          <w:szCs w:val="20"/>
        </w:rPr>
      </w:pPr>
    </w:p>
    <w:p w14:paraId="5003828D" w14:textId="31B449E5" w:rsidR="000973A4" w:rsidRDefault="000973A4" w:rsidP="00B80DB8">
      <w:pPr>
        <w:tabs>
          <w:tab w:val="left" w:pos="1086"/>
          <w:tab w:val="left" w:pos="1445"/>
        </w:tabs>
        <w:spacing w:after="0" w:line="240" w:lineRule="auto"/>
        <w:rPr>
          <w:sz w:val="20"/>
          <w:szCs w:val="20"/>
        </w:rPr>
      </w:pPr>
    </w:p>
    <w:p w14:paraId="6C839488" w14:textId="0EE6040B" w:rsidR="000973A4" w:rsidRDefault="000973A4" w:rsidP="00B80DB8">
      <w:pPr>
        <w:tabs>
          <w:tab w:val="left" w:pos="1086"/>
          <w:tab w:val="left" w:pos="1445"/>
        </w:tabs>
        <w:spacing w:after="0" w:line="240" w:lineRule="auto"/>
        <w:rPr>
          <w:sz w:val="20"/>
          <w:szCs w:val="20"/>
        </w:rPr>
      </w:pPr>
    </w:p>
    <w:p w14:paraId="2935DD5C" w14:textId="1279D137" w:rsidR="000973A4" w:rsidRDefault="000973A4" w:rsidP="00B80DB8">
      <w:pPr>
        <w:tabs>
          <w:tab w:val="left" w:pos="1086"/>
          <w:tab w:val="left" w:pos="1445"/>
        </w:tabs>
        <w:spacing w:after="0" w:line="240" w:lineRule="auto"/>
        <w:rPr>
          <w:sz w:val="20"/>
          <w:szCs w:val="20"/>
        </w:rPr>
      </w:pPr>
    </w:p>
    <w:p w14:paraId="665BE6B2" w14:textId="6EAE31F3" w:rsidR="000973A4" w:rsidRDefault="000973A4" w:rsidP="00B80DB8">
      <w:pPr>
        <w:tabs>
          <w:tab w:val="left" w:pos="1086"/>
          <w:tab w:val="left" w:pos="1445"/>
        </w:tabs>
        <w:spacing w:after="0" w:line="240" w:lineRule="auto"/>
        <w:rPr>
          <w:sz w:val="20"/>
          <w:szCs w:val="20"/>
        </w:rPr>
      </w:pPr>
    </w:p>
    <w:p w14:paraId="2BBF17B6" w14:textId="5CFD7243" w:rsidR="000973A4" w:rsidRDefault="000973A4" w:rsidP="00B80DB8">
      <w:pPr>
        <w:tabs>
          <w:tab w:val="left" w:pos="1086"/>
          <w:tab w:val="left" w:pos="1445"/>
        </w:tabs>
        <w:spacing w:after="0" w:line="240" w:lineRule="auto"/>
        <w:rPr>
          <w:sz w:val="20"/>
          <w:szCs w:val="20"/>
        </w:rPr>
      </w:pPr>
    </w:p>
    <w:p w14:paraId="021569AF" w14:textId="0A83FCEC" w:rsidR="000973A4" w:rsidRDefault="000973A4" w:rsidP="00B80DB8">
      <w:pPr>
        <w:tabs>
          <w:tab w:val="left" w:pos="1086"/>
          <w:tab w:val="left" w:pos="1445"/>
        </w:tabs>
        <w:spacing w:after="0" w:line="240" w:lineRule="auto"/>
        <w:rPr>
          <w:sz w:val="20"/>
          <w:szCs w:val="20"/>
        </w:rPr>
      </w:pPr>
    </w:p>
    <w:p w14:paraId="048AB2DF" w14:textId="57FCC3E8" w:rsidR="000973A4" w:rsidRDefault="000973A4" w:rsidP="00B80DB8">
      <w:pPr>
        <w:tabs>
          <w:tab w:val="left" w:pos="1086"/>
          <w:tab w:val="left" w:pos="1445"/>
        </w:tabs>
        <w:spacing w:after="0" w:line="240" w:lineRule="auto"/>
        <w:rPr>
          <w:sz w:val="20"/>
          <w:szCs w:val="20"/>
        </w:rPr>
      </w:pPr>
    </w:p>
    <w:p w14:paraId="16F480FD" w14:textId="3D053776" w:rsidR="000973A4" w:rsidRDefault="000973A4" w:rsidP="00B80DB8">
      <w:pPr>
        <w:tabs>
          <w:tab w:val="left" w:pos="1086"/>
          <w:tab w:val="left" w:pos="1445"/>
        </w:tabs>
        <w:spacing w:after="0" w:line="240" w:lineRule="auto"/>
        <w:rPr>
          <w:sz w:val="20"/>
          <w:szCs w:val="20"/>
        </w:rPr>
      </w:pPr>
    </w:p>
    <w:p w14:paraId="0C2D83A3" w14:textId="491FA88E" w:rsidR="000973A4" w:rsidRDefault="000973A4" w:rsidP="00B80DB8">
      <w:pPr>
        <w:tabs>
          <w:tab w:val="left" w:pos="1086"/>
          <w:tab w:val="left" w:pos="1445"/>
        </w:tabs>
        <w:spacing w:after="0" w:line="240" w:lineRule="auto"/>
        <w:rPr>
          <w:sz w:val="20"/>
          <w:szCs w:val="20"/>
        </w:rPr>
      </w:pPr>
    </w:p>
    <w:p w14:paraId="5E922D18" w14:textId="28D8E5EF" w:rsidR="000973A4" w:rsidRDefault="000973A4" w:rsidP="00B80DB8">
      <w:pPr>
        <w:tabs>
          <w:tab w:val="left" w:pos="1086"/>
          <w:tab w:val="left" w:pos="1445"/>
        </w:tabs>
        <w:spacing w:after="0" w:line="240" w:lineRule="auto"/>
        <w:rPr>
          <w:sz w:val="20"/>
          <w:szCs w:val="20"/>
        </w:rPr>
      </w:pPr>
    </w:p>
    <w:p w14:paraId="23F9D11A" w14:textId="41D78CAA" w:rsidR="000973A4" w:rsidRDefault="000973A4" w:rsidP="00B80DB8">
      <w:pPr>
        <w:tabs>
          <w:tab w:val="left" w:pos="1086"/>
          <w:tab w:val="left" w:pos="1445"/>
        </w:tabs>
        <w:spacing w:after="0" w:line="240" w:lineRule="auto"/>
        <w:rPr>
          <w:sz w:val="20"/>
          <w:szCs w:val="20"/>
        </w:rPr>
      </w:pPr>
    </w:p>
    <w:p w14:paraId="053C34C5" w14:textId="71C12954" w:rsidR="000973A4" w:rsidRDefault="000973A4" w:rsidP="00B80DB8">
      <w:pPr>
        <w:tabs>
          <w:tab w:val="left" w:pos="1086"/>
          <w:tab w:val="left" w:pos="1445"/>
        </w:tabs>
        <w:spacing w:after="0" w:line="240" w:lineRule="auto"/>
        <w:rPr>
          <w:sz w:val="20"/>
          <w:szCs w:val="20"/>
        </w:rPr>
      </w:pPr>
    </w:p>
    <w:p w14:paraId="1A5B6B76" w14:textId="40364FBB" w:rsidR="000973A4" w:rsidRDefault="000973A4" w:rsidP="00B80DB8">
      <w:pPr>
        <w:tabs>
          <w:tab w:val="left" w:pos="1086"/>
          <w:tab w:val="left" w:pos="1445"/>
        </w:tabs>
        <w:spacing w:after="0" w:line="240" w:lineRule="auto"/>
        <w:rPr>
          <w:sz w:val="20"/>
          <w:szCs w:val="20"/>
        </w:rPr>
      </w:pPr>
    </w:p>
    <w:p w14:paraId="7E9D85CE" w14:textId="7C233DF9" w:rsidR="000973A4" w:rsidRDefault="000973A4" w:rsidP="00B80DB8">
      <w:pPr>
        <w:tabs>
          <w:tab w:val="left" w:pos="1086"/>
          <w:tab w:val="left" w:pos="1445"/>
        </w:tabs>
        <w:spacing w:after="0" w:line="240" w:lineRule="auto"/>
        <w:rPr>
          <w:sz w:val="20"/>
          <w:szCs w:val="20"/>
        </w:rPr>
      </w:pPr>
    </w:p>
    <w:p w14:paraId="6F0D6953" w14:textId="708E7655" w:rsidR="000973A4" w:rsidRDefault="000973A4" w:rsidP="00B80DB8">
      <w:pPr>
        <w:tabs>
          <w:tab w:val="left" w:pos="1086"/>
          <w:tab w:val="left" w:pos="1445"/>
        </w:tabs>
        <w:spacing w:after="0" w:line="240" w:lineRule="auto"/>
        <w:rPr>
          <w:sz w:val="20"/>
          <w:szCs w:val="20"/>
        </w:rPr>
      </w:pPr>
    </w:p>
    <w:p w14:paraId="245E8B59" w14:textId="5A14A188" w:rsidR="000973A4" w:rsidRDefault="000973A4" w:rsidP="00B80DB8">
      <w:pPr>
        <w:tabs>
          <w:tab w:val="left" w:pos="1086"/>
          <w:tab w:val="left" w:pos="1445"/>
        </w:tabs>
        <w:spacing w:after="0" w:line="240" w:lineRule="auto"/>
        <w:rPr>
          <w:sz w:val="20"/>
          <w:szCs w:val="20"/>
        </w:rPr>
      </w:pPr>
    </w:p>
    <w:p w14:paraId="6485D431" w14:textId="7D2A4A51" w:rsidR="000973A4" w:rsidRDefault="000973A4" w:rsidP="00B80DB8">
      <w:pPr>
        <w:tabs>
          <w:tab w:val="left" w:pos="1086"/>
          <w:tab w:val="left" w:pos="1445"/>
        </w:tabs>
        <w:spacing w:after="0" w:line="240" w:lineRule="auto"/>
        <w:rPr>
          <w:sz w:val="20"/>
          <w:szCs w:val="20"/>
        </w:rPr>
      </w:pPr>
    </w:p>
    <w:p w14:paraId="5A72028E" w14:textId="62D8E89C" w:rsidR="000973A4" w:rsidRDefault="000973A4" w:rsidP="00B80DB8">
      <w:pPr>
        <w:tabs>
          <w:tab w:val="left" w:pos="1086"/>
          <w:tab w:val="left" w:pos="1445"/>
        </w:tabs>
        <w:spacing w:after="0" w:line="240" w:lineRule="auto"/>
        <w:rPr>
          <w:sz w:val="20"/>
          <w:szCs w:val="20"/>
        </w:rPr>
      </w:pPr>
    </w:p>
    <w:p w14:paraId="36609F82" w14:textId="33D41B37" w:rsidR="000973A4" w:rsidRDefault="000973A4" w:rsidP="00B80DB8">
      <w:pPr>
        <w:tabs>
          <w:tab w:val="left" w:pos="1086"/>
          <w:tab w:val="left" w:pos="1445"/>
        </w:tabs>
        <w:spacing w:after="0" w:line="240" w:lineRule="auto"/>
        <w:rPr>
          <w:sz w:val="20"/>
          <w:szCs w:val="20"/>
        </w:rPr>
      </w:pPr>
    </w:p>
    <w:p w14:paraId="6B24D06A" w14:textId="7E5C5EA0" w:rsidR="000973A4" w:rsidRDefault="000973A4" w:rsidP="00B80DB8">
      <w:pPr>
        <w:tabs>
          <w:tab w:val="left" w:pos="1086"/>
          <w:tab w:val="left" w:pos="1445"/>
        </w:tabs>
        <w:spacing w:after="0" w:line="240" w:lineRule="auto"/>
        <w:rPr>
          <w:sz w:val="20"/>
          <w:szCs w:val="20"/>
        </w:rPr>
      </w:pPr>
    </w:p>
    <w:p w14:paraId="38A72486" w14:textId="7F310104" w:rsidR="000973A4" w:rsidRDefault="000973A4" w:rsidP="00B80DB8">
      <w:pPr>
        <w:tabs>
          <w:tab w:val="left" w:pos="1086"/>
          <w:tab w:val="left" w:pos="1445"/>
        </w:tabs>
        <w:spacing w:after="0" w:line="240" w:lineRule="auto"/>
        <w:rPr>
          <w:sz w:val="20"/>
          <w:szCs w:val="20"/>
        </w:rPr>
      </w:pPr>
    </w:p>
    <w:p w14:paraId="1600FC94" w14:textId="3EE672A3" w:rsidR="000973A4" w:rsidRDefault="000973A4" w:rsidP="00B80DB8">
      <w:pPr>
        <w:tabs>
          <w:tab w:val="left" w:pos="1086"/>
          <w:tab w:val="left" w:pos="1445"/>
        </w:tabs>
        <w:spacing w:after="0" w:line="240" w:lineRule="auto"/>
        <w:rPr>
          <w:sz w:val="20"/>
          <w:szCs w:val="20"/>
        </w:rPr>
      </w:pPr>
    </w:p>
    <w:p w14:paraId="29C8ABE3" w14:textId="1276E0AF" w:rsidR="000973A4" w:rsidRDefault="000973A4" w:rsidP="00B80DB8">
      <w:pPr>
        <w:tabs>
          <w:tab w:val="left" w:pos="1086"/>
          <w:tab w:val="left" w:pos="1445"/>
        </w:tabs>
        <w:spacing w:after="0" w:line="240" w:lineRule="auto"/>
        <w:rPr>
          <w:sz w:val="20"/>
          <w:szCs w:val="20"/>
        </w:rPr>
      </w:pPr>
    </w:p>
    <w:p w14:paraId="75965C68" w14:textId="246402E2" w:rsidR="000973A4" w:rsidRDefault="000973A4" w:rsidP="00B80DB8">
      <w:pPr>
        <w:tabs>
          <w:tab w:val="left" w:pos="1086"/>
          <w:tab w:val="left" w:pos="1445"/>
        </w:tabs>
        <w:spacing w:after="0" w:line="240" w:lineRule="auto"/>
        <w:rPr>
          <w:sz w:val="20"/>
          <w:szCs w:val="20"/>
        </w:rPr>
      </w:pPr>
    </w:p>
    <w:p w14:paraId="2BCF70BE" w14:textId="5024FE4B" w:rsidR="000973A4" w:rsidRDefault="000973A4" w:rsidP="00B80DB8">
      <w:pPr>
        <w:tabs>
          <w:tab w:val="left" w:pos="1086"/>
          <w:tab w:val="left" w:pos="1445"/>
        </w:tabs>
        <w:spacing w:after="0" w:line="240" w:lineRule="auto"/>
        <w:rPr>
          <w:sz w:val="20"/>
          <w:szCs w:val="20"/>
        </w:rPr>
      </w:pPr>
    </w:p>
    <w:p w14:paraId="363C51D9" w14:textId="431CBA10" w:rsidR="000973A4" w:rsidRDefault="000973A4" w:rsidP="00B80DB8">
      <w:pPr>
        <w:tabs>
          <w:tab w:val="left" w:pos="1086"/>
          <w:tab w:val="left" w:pos="1445"/>
        </w:tabs>
        <w:spacing w:after="0" w:line="240" w:lineRule="auto"/>
        <w:rPr>
          <w:sz w:val="20"/>
          <w:szCs w:val="20"/>
        </w:rPr>
      </w:pPr>
    </w:p>
    <w:p w14:paraId="401AD58C" w14:textId="607F3E9D" w:rsidR="000973A4" w:rsidRDefault="000973A4" w:rsidP="00B80DB8">
      <w:pPr>
        <w:tabs>
          <w:tab w:val="left" w:pos="1086"/>
          <w:tab w:val="left" w:pos="1445"/>
        </w:tabs>
        <w:spacing w:after="0" w:line="240" w:lineRule="auto"/>
        <w:rPr>
          <w:sz w:val="20"/>
          <w:szCs w:val="20"/>
        </w:rPr>
      </w:pPr>
    </w:p>
    <w:p w14:paraId="499F683A" w14:textId="77777777" w:rsidR="000973A4" w:rsidRPr="00FB7EF9" w:rsidRDefault="000973A4" w:rsidP="00B80DB8">
      <w:pPr>
        <w:tabs>
          <w:tab w:val="left" w:pos="1086"/>
          <w:tab w:val="left" w:pos="1445"/>
        </w:tabs>
        <w:spacing w:after="0" w:line="240" w:lineRule="auto"/>
        <w:rPr>
          <w:sz w:val="20"/>
          <w:szCs w:val="20"/>
        </w:rPr>
      </w:pPr>
    </w:p>
    <w:p w14:paraId="298B8D5A" w14:textId="538975A8" w:rsidR="005B5E49" w:rsidRDefault="005B5E49" w:rsidP="00B80DB8">
      <w:pPr>
        <w:tabs>
          <w:tab w:val="left" w:pos="1086"/>
          <w:tab w:val="left" w:pos="1445"/>
        </w:tabs>
        <w:spacing w:after="0" w:line="240" w:lineRule="auto"/>
        <w:jc w:val="center"/>
        <w:rPr>
          <w:rFonts w:ascii="Century Gothic" w:hAnsi="Century Gothic" w:cs="Calibri"/>
          <w:b/>
          <w:color w:val="404040" w:themeColor="text1" w:themeTint="BF"/>
          <w:sz w:val="24"/>
          <w:szCs w:val="24"/>
        </w:rPr>
      </w:pPr>
      <w:r w:rsidRPr="005B5E49">
        <w:rPr>
          <w:rFonts w:ascii="Century Gothic" w:hAnsi="Century Gothic" w:cs="Calibri"/>
          <w:b/>
          <w:noProof/>
          <w:color w:val="404040" w:themeColor="text1" w:themeTint="BF"/>
          <w:sz w:val="24"/>
          <w:szCs w:val="24"/>
        </w:rPr>
        <w:drawing>
          <wp:inline distT="0" distB="0" distL="0" distR="0" wp14:anchorId="6DA0CAB8" wp14:editId="2E7297E0">
            <wp:extent cx="5581309" cy="282384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53566"/>
                    <a:stretch/>
                  </pic:blipFill>
                  <pic:spPr bwMode="auto">
                    <a:xfrm>
                      <a:off x="0" y="0"/>
                      <a:ext cx="5587788" cy="2827123"/>
                    </a:xfrm>
                    <a:prstGeom prst="rect">
                      <a:avLst/>
                    </a:prstGeom>
                    <a:ln>
                      <a:noFill/>
                    </a:ln>
                    <a:extLst>
                      <a:ext uri="{53640926-AAD7-44D8-BBD7-CCE9431645EC}">
                        <a14:shadowObscured xmlns:a14="http://schemas.microsoft.com/office/drawing/2010/main"/>
                      </a:ext>
                    </a:extLst>
                  </pic:spPr>
                </pic:pic>
              </a:graphicData>
            </a:graphic>
          </wp:inline>
        </w:drawing>
      </w:r>
    </w:p>
    <w:p w14:paraId="06586B40" w14:textId="6FEB2D02" w:rsidR="005B5E49" w:rsidRDefault="005B5E49" w:rsidP="00B80DB8">
      <w:pPr>
        <w:tabs>
          <w:tab w:val="left" w:pos="1086"/>
          <w:tab w:val="left" w:pos="1445"/>
        </w:tabs>
        <w:spacing w:after="0" w:line="240" w:lineRule="auto"/>
        <w:ind w:left="360"/>
        <w:jc w:val="center"/>
        <w:rPr>
          <w:rFonts w:ascii="Century Gothic" w:hAnsi="Century Gothic" w:cs="Calibri"/>
          <w:b/>
          <w:color w:val="404040" w:themeColor="text1" w:themeTint="BF"/>
          <w:sz w:val="24"/>
          <w:szCs w:val="24"/>
        </w:rPr>
      </w:pPr>
      <w:r w:rsidRPr="005B5E49">
        <w:rPr>
          <w:rFonts w:ascii="Century Gothic" w:hAnsi="Century Gothic" w:cs="Calibri"/>
          <w:b/>
          <w:noProof/>
          <w:color w:val="404040" w:themeColor="text1" w:themeTint="BF"/>
          <w:sz w:val="24"/>
          <w:szCs w:val="24"/>
        </w:rPr>
        <w:drawing>
          <wp:inline distT="0" distB="0" distL="0" distR="0" wp14:anchorId="052148DF" wp14:editId="0666BA22">
            <wp:extent cx="5758582"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57629" cy="1123904"/>
                    </a:xfrm>
                    <a:prstGeom prst="rect">
                      <a:avLst/>
                    </a:prstGeom>
                  </pic:spPr>
                </pic:pic>
              </a:graphicData>
            </a:graphic>
          </wp:inline>
        </w:drawing>
      </w:r>
    </w:p>
    <w:p w14:paraId="2C2A92C0" w14:textId="784C8E50" w:rsidR="00831E56" w:rsidRDefault="00831E56" w:rsidP="00B80DB8">
      <w:pPr>
        <w:tabs>
          <w:tab w:val="left" w:pos="1086"/>
          <w:tab w:val="left" w:pos="1445"/>
        </w:tabs>
        <w:spacing w:after="0" w:line="240" w:lineRule="auto"/>
        <w:ind w:left="360"/>
        <w:jc w:val="center"/>
        <w:rPr>
          <w:rFonts w:ascii="Century Gothic" w:hAnsi="Century Gothic" w:cs="Calibri"/>
          <w:b/>
          <w:color w:val="404040" w:themeColor="text1" w:themeTint="BF"/>
          <w:sz w:val="24"/>
          <w:szCs w:val="24"/>
        </w:rPr>
      </w:pPr>
    </w:p>
    <w:p w14:paraId="36B19D4D" w14:textId="77777777" w:rsidR="00831E56" w:rsidRDefault="00831E56" w:rsidP="00831E56">
      <w:pPr>
        <w:tabs>
          <w:tab w:val="left" w:pos="1086"/>
          <w:tab w:val="left" w:pos="1445"/>
        </w:tabs>
        <w:spacing w:after="0" w:line="240" w:lineRule="auto"/>
        <w:rPr>
          <w:rFonts w:ascii="Century Gothic" w:hAnsi="Century Gothic" w:cs="Calibri"/>
          <w:b/>
          <w:color w:val="404040" w:themeColor="text1" w:themeTint="BF"/>
          <w:sz w:val="24"/>
          <w:szCs w:val="24"/>
        </w:rPr>
      </w:pPr>
      <w:r>
        <w:rPr>
          <w:rFonts w:ascii="Century Gothic" w:hAnsi="Century Gothic" w:cs="Calibri"/>
          <w:b/>
          <w:color w:val="404040" w:themeColor="text1" w:themeTint="BF"/>
          <w:sz w:val="24"/>
          <w:szCs w:val="24"/>
        </w:rPr>
        <w:t xml:space="preserve">Resources: </w:t>
      </w:r>
    </w:p>
    <w:p w14:paraId="16CA5F32" w14:textId="77777777" w:rsidR="00BF6946" w:rsidRPr="00BF6946" w:rsidRDefault="00BF6946" w:rsidP="00BF6946">
      <w:pPr>
        <w:pStyle w:val="ListParagraph"/>
        <w:tabs>
          <w:tab w:val="left" w:pos="1086"/>
          <w:tab w:val="left" w:pos="1445"/>
        </w:tabs>
        <w:spacing w:after="0" w:line="240" w:lineRule="auto"/>
        <w:rPr>
          <w:rFonts w:cs="Calibri"/>
          <w:color w:val="404040" w:themeColor="text1" w:themeTint="BF"/>
        </w:rPr>
      </w:pPr>
    </w:p>
    <w:p w14:paraId="49313817" w14:textId="7C095FDF" w:rsidR="00BF6946" w:rsidRPr="00BF6946" w:rsidRDefault="00BF6946" w:rsidP="00831E56">
      <w:pPr>
        <w:pStyle w:val="ListParagraph"/>
        <w:numPr>
          <w:ilvl w:val="0"/>
          <w:numId w:val="21"/>
        </w:numPr>
        <w:tabs>
          <w:tab w:val="left" w:pos="1086"/>
          <w:tab w:val="left" w:pos="1445"/>
        </w:tabs>
        <w:spacing w:after="0" w:line="240" w:lineRule="auto"/>
        <w:rPr>
          <w:rFonts w:cs="Calibri"/>
          <w:color w:val="404040" w:themeColor="text1" w:themeTint="BF"/>
        </w:rPr>
      </w:pPr>
      <w:r w:rsidRPr="00BF6946">
        <w:t>AAP Definition of Medical Home</w:t>
      </w:r>
    </w:p>
    <w:p w14:paraId="487F3502" w14:textId="0BB709CD" w:rsidR="00135984" w:rsidRDefault="00135984" w:rsidP="000C2CA2">
      <w:pPr>
        <w:tabs>
          <w:tab w:val="left" w:pos="1086"/>
          <w:tab w:val="left" w:pos="1445"/>
        </w:tabs>
        <w:spacing w:after="120"/>
        <w:ind w:left="994" w:right="1267"/>
      </w:pPr>
      <w:r w:rsidRPr="00135984">
        <w:t>A pediatric medical home is a family-centered partnership within a community-based system that provides uninterrupted care with appropriate payment to support and sustain optimal health outcomes. Medical homes address preventative, acute, and chronic care from birth through transition to adulthood. A medical home facilitates an integrated health system with an interdisciplinary team of patients and families, primary care physicians, specialists and subspecialists, hospitals and healthcare facilities, public health and the community.</w:t>
      </w:r>
    </w:p>
    <w:p w14:paraId="1C4BD3B9" w14:textId="1925FC55" w:rsidR="000C2CA2" w:rsidRPr="000C2CA2" w:rsidRDefault="000C2CA2" w:rsidP="000C2CA2">
      <w:pPr>
        <w:pStyle w:val="ListParagraph"/>
        <w:numPr>
          <w:ilvl w:val="0"/>
          <w:numId w:val="21"/>
        </w:numPr>
        <w:tabs>
          <w:tab w:val="left" w:pos="1086"/>
          <w:tab w:val="left" w:pos="1445"/>
        </w:tabs>
        <w:spacing w:after="120" w:line="240" w:lineRule="auto"/>
        <w:contextualSpacing w:val="0"/>
        <w:rPr>
          <w:rFonts w:cs="Calibri"/>
          <w:color w:val="404040" w:themeColor="text1" w:themeTint="BF"/>
        </w:rPr>
      </w:pPr>
      <w:hyperlink r:id="rId11" w:history="1">
        <w:r w:rsidRPr="000C2CA2">
          <w:rPr>
            <w:rStyle w:val="Hyperlink"/>
          </w:rPr>
          <w:t>Kansas Family Engagement and Partnership Standards for Early Childhood</w:t>
        </w:r>
      </w:hyperlink>
      <w:r>
        <w:t xml:space="preserve">  (Key points as reference handout)</w:t>
      </w:r>
    </w:p>
    <w:p w14:paraId="5AF26239" w14:textId="4A647175" w:rsidR="000C2CA2" w:rsidRDefault="000C2CA2" w:rsidP="000C2CA2">
      <w:pPr>
        <w:pStyle w:val="ListParagraph"/>
        <w:numPr>
          <w:ilvl w:val="0"/>
          <w:numId w:val="21"/>
        </w:numPr>
        <w:tabs>
          <w:tab w:val="left" w:pos="1086"/>
          <w:tab w:val="left" w:pos="1445"/>
        </w:tabs>
        <w:spacing w:after="0" w:line="240" w:lineRule="auto"/>
        <w:rPr>
          <w:rFonts w:cs="Calibri"/>
          <w:color w:val="404040" w:themeColor="text1" w:themeTint="BF"/>
        </w:rPr>
      </w:pPr>
      <w:hyperlink r:id="rId12" w:history="1">
        <w:r w:rsidRPr="000C2CA2">
          <w:rPr>
            <w:rStyle w:val="Hyperlink"/>
            <w:rFonts w:cs="Calibri"/>
          </w:rPr>
          <w:t>American Academy of Pediatrics Family Engagement QI Implementation Guide</w:t>
        </w:r>
      </w:hyperlink>
      <w:r>
        <w:rPr>
          <w:rFonts w:cs="Calibri"/>
          <w:color w:val="404040" w:themeColor="text1" w:themeTint="BF"/>
        </w:rPr>
        <w:t xml:space="preserve">  </w:t>
      </w:r>
    </w:p>
    <w:p w14:paraId="0A616DD9" w14:textId="46738502" w:rsidR="000C2CA2" w:rsidRDefault="000C2CA2" w:rsidP="000C2CA2">
      <w:pPr>
        <w:pStyle w:val="ListParagraph"/>
        <w:numPr>
          <w:ilvl w:val="1"/>
          <w:numId w:val="21"/>
        </w:numPr>
        <w:tabs>
          <w:tab w:val="left" w:pos="1086"/>
          <w:tab w:val="left" w:pos="1445"/>
        </w:tabs>
        <w:spacing w:after="120" w:line="240" w:lineRule="auto"/>
        <w:contextualSpacing w:val="0"/>
        <w:rPr>
          <w:rFonts w:cs="Calibri"/>
          <w:color w:val="404040" w:themeColor="text1" w:themeTint="BF"/>
        </w:rPr>
      </w:pPr>
      <w:hyperlink r:id="rId13" w:history="1">
        <w:r w:rsidRPr="000C2CA2">
          <w:rPr>
            <w:rStyle w:val="Hyperlink"/>
            <w:rFonts w:cs="Calibri"/>
          </w:rPr>
          <w:t>Fact Sheet as reference handout</w:t>
        </w:r>
      </w:hyperlink>
    </w:p>
    <w:p w14:paraId="58C27C82" w14:textId="780A58B7" w:rsidR="000C2CA2" w:rsidRDefault="000C2CA2" w:rsidP="000C2CA2">
      <w:pPr>
        <w:pStyle w:val="ListParagraph"/>
        <w:numPr>
          <w:ilvl w:val="0"/>
          <w:numId w:val="21"/>
        </w:numPr>
        <w:tabs>
          <w:tab w:val="left" w:pos="1086"/>
          <w:tab w:val="left" w:pos="1445"/>
        </w:tabs>
        <w:spacing w:after="0" w:line="240" w:lineRule="auto"/>
        <w:rPr>
          <w:rFonts w:cs="Calibri"/>
          <w:color w:val="404040" w:themeColor="text1" w:themeTint="BF"/>
        </w:rPr>
      </w:pPr>
      <w:hyperlink r:id="rId14" w:history="1">
        <w:r w:rsidRPr="000C2CA2">
          <w:rPr>
            <w:rStyle w:val="Hyperlink"/>
            <w:rFonts w:cs="Calibri"/>
          </w:rPr>
          <w:t>AMCHP Family Engagement &amp; Leadership</w:t>
        </w:r>
      </w:hyperlink>
    </w:p>
    <w:p w14:paraId="3FFA4AAF" w14:textId="06FF2D92" w:rsidR="000C2CA2" w:rsidRPr="00BF6946" w:rsidRDefault="000C2CA2" w:rsidP="000C2CA2">
      <w:pPr>
        <w:pStyle w:val="ListParagraph"/>
        <w:numPr>
          <w:ilvl w:val="1"/>
          <w:numId w:val="21"/>
        </w:numPr>
        <w:tabs>
          <w:tab w:val="left" w:pos="1086"/>
          <w:tab w:val="left" w:pos="1445"/>
        </w:tabs>
        <w:spacing w:after="0" w:line="240" w:lineRule="auto"/>
        <w:rPr>
          <w:rFonts w:cs="Calibri"/>
          <w:color w:val="404040" w:themeColor="text1" w:themeTint="BF"/>
        </w:rPr>
      </w:pPr>
      <w:hyperlink r:id="rId15" w:history="1">
        <w:r w:rsidRPr="000C2CA2">
          <w:rPr>
            <w:rStyle w:val="Hyperlink"/>
            <w:rFonts w:cs="Calibri"/>
          </w:rPr>
          <w:t>Levels of Family Engagement in Title V as reference handout</w:t>
        </w:r>
      </w:hyperlink>
    </w:p>
    <w:p w14:paraId="07FFBD2A" w14:textId="7908B6DE" w:rsidR="000C2CA2" w:rsidRPr="00135984" w:rsidRDefault="000C2CA2" w:rsidP="00135984">
      <w:pPr>
        <w:tabs>
          <w:tab w:val="left" w:pos="1086"/>
          <w:tab w:val="left" w:pos="1445"/>
        </w:tabs>
        <w:spacing w:after="0"/>
        <w:ind w:left="994" w:right="1267"/>
      </w:pPr>
      <w:r>
        <w:tab/>
      </w:r>
      <w:bookmarkStart w:id="0" w:name="_GoBack"/>
      <w:bookmarkEnd w:id="0"/>
    </w:p>
    <w:sectPr w:rsidR="000C2CA2" w:rsidRPr="00135984" w:rsidSect="00DA1B23">
      <w:footerReference w:type="default" r:id="rId16"/>
      <w:pgSz w:w="12240" w:h="15840"/>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E3703" w14:textId="77777777" w:rsidR="0072731E" w:rsidRDefault="0072731E" w:rsidP="000A4171">
      <w:pPr>
        <w:spacing w:after="0" w:line="240" w:lineRule="auto"/>
      </w:pPr>
      <w:r>
        <w:separator/>
      </w:r>
    </w:p>
  </w:endnote>
  <w:endnote w:type="continuationSeparator" w:id="0">
    <w:p w14:paraId="43A003A8" w14:textId="77777777" w:rsidR="0072731E" w:rsidRDefault="0072731E" w:rsidP="000A4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F94A2" w14:textId="365DE7E0" w:rsidR="000A4171" w:rsidRDefault="000A4171" w:rsidP="000A4171">
    <w:pPr>
      <w:pStyle w:val="Footer"/>
      <w:jc w:val="right"/>
    </w:pPr>
    <w:r>
      <w:t xml:space="preserve">KMCHC July </w:t>
    </w:r>
    <w:r w:rsidR="00916D8D">
      <w:t>31</w:t>
    </w:r>
    <w:r>
      <w:t>, 201</w:t>
    </w:r>
    <w:r w:rsidR="00916D8D">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66E9F" w14:textId="77777777" w:rsidR="0072731E" w:rsidRDefault="0072731E" w:rsidP="000A4171">
      <w:pPr>
        <w:spacing w:after="0" w:line="240" w:lineRule="auto"/>
      </w:pPr>
      <w:r>
        <w:separator/>
      </w:r>
    </w:p>
  </w:footnote>
  <w:footnote w:type="continuationSeparator" w:id="0">
    <w:p w14:paraId="4CF89E0E" w14:textId="77777777" w:rsidR="0072731E" w:rsidRDefault="0072731E" w:rsidP="000A4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05FF7"/>
    <w:multiLevelType w:val="hybridMultilevel"/>
    <w:tmpl w:val="05A4D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A3A63"/>
    <w:multiLevelType w:val="hybridMultilevel"/>
    <w:tmpl w:val="4D6C9482"/>
    <w:lvl w:ilvl="0" w:tplc="04090001">
      <w:start w:val="1"/>
      <w:numFmt w:val="bullet"/>
      <w:lvlText w:val=""/>
      <w:lvlJc w:val="left"/>
      <w:pPr>
        <w:ind w:left="720" w:hanging="360"/>
      </w:pPr>
      <w:rPr>
        <w:rFonts w:ascii="Symbol" w:hAnsi="Symbo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C43BD"/>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5D2978"/>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9118F9"/>
    <w:multiLevelType w:val="hybridMultilevel"/>
    <w:tmpl w:val="4DC84F8A"/>
    <w:lvl w:ilvl="0" w:tplc="22CC72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4394C"/>
    <w:multiLevelType w:val="hybridMultilevel"/>
    <w:tmpl w:val="B7BE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E7E74"/>
    <w:multiLevelType w:val="hybridMultilevel"/>
    <w:tmpl w:val="A2C857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DC63DA"/>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257E9E"/>
    <w:multiLevelType w:val="hybridMultilevel"/>
    <w:tmpl w:val="FADEBE18"/>
    <w:lvl w:ilvl="0" w:tplc="11E278BA">
      <w:start w:val="78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64627A"/>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0B6638"/>
    <w:multiLevelType w:val="hybridMultilevel"/>
    <w:tmpl w:val="B28C51A4"/>
    <w:lvl w:ilvl="0" w:tplc="7A28F6EE">
      <w:numFmt w:val="bullet"/>
      <w:lvlText w:val="-"/>
      <w:lvlJc w:val="left"/>
      <w:pPr>
        <w:ind w:left="720" w:hanging="360"/>
      </w:pPr>
      <w:rPr>
        <w:rFonts w:ascii="Calibri" w:eastAsia="Times New Roman" w:hAnsi="Calibri" w:cs="Calibri"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9F689D"/>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344669"/>
    <w:multiLevelType w:val="hybridMultilevel"/>
    <w:tmpl w:val="8D8EEA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C80C7B"/>
    <w:multiLevelType w:val="multilevel"/>
    <w:tmpl w:val="15D01A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E428D4"/>
    <w:multiLevelType w:val="hybridMultilevel"/>
    <w:tmpl w:val="F1CA5E4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7350A50"/>
    <w:multiLevelType w:val="hybridMultilevel"/>
    <w:tmpl w:val="7C461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102BB4"/>
    <w:multiLevelType w:val="multilevel"/>
    <w:tmpl w:val="F6F8251A"/>
    <w:styleLink w:val="Style1"/>
    <w:lvl w:ilvl="0">
      <w:start w:val="1"/>
      <w:numFmt w:val="upperRoman"/>
      <w:lvlText w:val="%1."/>
      <w:lvlJc w:val="left"/>
      <w:pPr>
        <w:ind w:left="720" w:hanging="360"/>
      </w:pPr>
      <w:rPr>
        <w:rFonts w:ascii="Calibri" w:eastAsiaTheme="minorHAnsi" w:hAnsi="Calibri" w:cs="Times New Roman"/>
      </w:rPr>
    </w:lvl>
    <w:lvl w:ilvl="1">
      <w:start w:val="1"/>
      <w:numFmt w:val="upperLetter"/>
      <w:lvlText w:val="%2."/>
      <w:lvlJc w:val="left"/>
      <w:pPr>
        <w:ind w:left="1080" w:hanging="360"/>
      </w:pPr>
      <w:rPr>
        <w:rFonts w:hint="default"/>
      </w:rPr>
    </w:lvl>
    <w:lvl w:ilvl="2">
      <w:start w:val="1"/>
      <w:numFmt w:val="decimal"/>
      <w:lvlText w:val="%3."/>
      <w:lvlJc w:val="left"/>
      <w:pPr>
        <w:ind w:left="1800" w:hanging="360"/>
      </w:pPr>
      <w:rPr>
        <w:rFonts w:hint="default"/>
      </w:rPr>
    </w:lvl>
    <w:lvl w:ilvl="3">
      <w:start w:val="1"/>
      <w:numFmt w:val="bullet"/>
      <w:lvlText w:val="o"/>
      <w:lvlJc w:val="left"/>
      <w:pPr>
        <w:ind w:left="252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0D6B34"/>
    <w:multiLevelType w:val="hybridMultilevel"/>
    <w:tmpl w:val="837CC062"/>
    <w:lvl w:ilvl="0" w:tplc="1CEAA6C6">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8479EC"/>
    <w:multiLevelType w:val="hybridMultilevel"/>
    <w:tmpl w:val="4A24D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9616E8"/>
    <w:multiLevelType w:val="hybridMultilevel"/>
    <w:tmpl w:val="03587ECE"/>
    <w:lvl w:ilvl="0" w:tplc="7A28F6EE">
      <w:numFmt w:val="bullet"/>
      <w:lvlText w:val="-"/>
      <w:lvlJc w:val="left"/>
      <w:pPr>
        <w:ind w:left="720" w:hanging="360"/>
      </w:pPr>
      <w:rPr>
        <w:rFonts w:ascii="Calibri" w:eastAsia="Times New Roman" w:hAnsi="Calibri" w:cs="Calibri"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633019"/>
    <w:multiLevelType w:val="hybridMultilevel"/>
    <w:tmpl w:val="C700D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48F6A3F"/>
    <w:multiLevelType w:val="hybridMultilevel"/>
    <w:tmpl w:val="2AA0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5B3C3D"/>
    <w:multiLevelType w:val="hybridMultilevel"/>
    <w:tmpl w:val="4A286ED0"/>
    <w:lvl w:ilvl="0" w:tplc="4DCC1F32">
      <w:numFmt w:val="bullet"/>
      <w:lvlText w:val="-"/>
      <w:lvlJc w:val="left"/>
      <w:pPr>
        <w:ind w:left="720" w:hanging="360"/>
      </w:pPr>
      <w:rPr>
        <w:rFonts w:ascii="Century Gothic" w:eastAsia="Times New Roman" w:hAnsi="Century Gothic" w:cs="Tahoma"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3"/>
  </w:num>
  <w:num w:numId="4">
    <w:abstractNumId w:val="22"/>
  </w:num>
  <w:num w:numId="5">
    <w:abstractNumId w:val="11"/>
  </w:num>
  <w:num w:numId="6">
    <w:abstractNumId w:val="6"/>
  </w:num>
  <w:num w:numId="7">
    <w:abstractNumId w:val="12"/>
  </w:num>
  <w:num w:numId="8">
    <w:abstractNumId w:val="17"/>
  </w:num>
  <w:num w:numId="9">
    <w:abstractNumId w:val="9"/>
  </w:num>
  <w:num w:numId="10">
    <w:abstractNumId w:val="3"/>
  </w:num>
  <w:num w:numId="11">
    <w:abstractNumId w:val="7"/>
  </w:num>
  <w:num w:numId="12">
    <w:abstractNumId w:val="2"/>
  </w:num>
  <w:num w:numId="13">
    <w:abstractNumId w:val="21"/>
  </w:num>
  <w:num w:numId="14">
    <w:abstractNumId w:val="10"/>
  </w:num>
  <w:num w:numId="15">
    <w:abstractNumId w:val="4"/>
  </w:num>
  <w:num w:numId="16">
    <w:abstractNumId w:val="19"/>
  </w:num>
  <w:num w:numId="17">
    <w:abstractNumId w:val="1"/>
  </w:num>
  <w:num w:numId="18">
    <w:abstractNumId w:val="5"/>
  </w:num>
  <w:num w:numId="19">
    <w:abstractNumId w:val="18"/>
  </w:num>
  <w:num w:numId="20">
    <w:abstractNumId w:val="0"/>
  </w:num>
  <w:num w:numId="21">
    <w:abstractNumId w:val="15"/>
  </w:num>
  <w:num w:numId="22">
    <w:abstractNumId w:val="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00F"/>
    <w:rsid w:val="000306E1"/>
    <w:rsid w:val="000753E7"/>
    <w:rsid w:val="00086A54"/>
    <w:rsid w:val="000973A4"/>
    <w:rsid w:val="000A4171"/>
    <w:rsid w:val="000B1B35"/>
    <w:rsid w:val="000B60BC"/>
    <w:rsid w:val="000C2CA2"/>
    <w:rsid w:val="000C758B"/>
    <w:rsid w:val="0010581C"/>
    <w:rsid w:val="001121CA"/>
    <w:rsid w:val="00117500"/>
    <w:rsid w:val="00124BE7"/>
    <w:rsid w:val="00135984"/>
    <w:rsid w:val="00141EF5"/>
    <w:rsid w:val="00196A9E"/>
    <w:rsid w:val="001B2FAA"/>
    <w:rsid w:val="001D2705"/>
    <w:rsid w:val="00204904"/>
    <w:rsid w:val="00283EDD"/>
    <w:rsid w:val="002A039B"/>
    <w:rsid w:val="002A6808"/>
    <w:rsid w:val="002B2335"/>
    <w:rsid w:val="002B27DB"/>
    <w:rsid w:val="002C02A1"/>
    <w:rsid w:val="00361484"/>
    <w:rsid w:val="003D7E11"/>
    <w:rsid w:val="0040000F"/>
    <w:rsid w:val="00401E7D"/>
    <w:rsid w:val="004655B0"/>
    <w:rsid w:val="00476FBB"/>
    <w:rsid w:val="00494BA1"/>
    <w:rsid w:val="00592BF7"/>
    <w:rsid w:val="00597F89"/>
    <w:rsid w:val="005A1AB8"/>
    <w:rsid w:val="005B5E49"/>
    <w:rsid w:val="005C7E81"/>
    <w:rsid w:val="005D0A0C"/>
    <w:rsid w:val="005D7689"/>
    <w:rsid w:val="00634C9F"/>
    <w:rsid w:val="00653D56"/>
    <w:rsid w:val="006E08DA"/>
    <w:rsid w:val="00720F25"/>
    <w:rsid w:val="0072731E"/>
    <w:rsid w:val="007278E9"/>
    <w:rsid w:val="007B3982"/>
    <w:rsid w:val="007D0D06"/>
    <w:rsid w:val="00801C47"/>
    <w:rsid w:val="00817BEB"/>
    <w:rsid w:val="00831E56"/>
    <w:rsid w:val="00833F47"/>
    <w:rsid w:val="008601C2"/>
    <w:rsid w:val="0089338C"/>
    <w:rsid w:val="00895AB6"/>
    <w:rsid w:val="008A699E"/>
    <w:rsid w:val="008E5DB5"/>
    <w:rsid w:val="0090648F"/>
    <w:rsid w:val="00916D8D"/>
    <w:rsid w:val="00951F7B"/>
    <w:rsid w:val="009650ED"/>
    <w:rsid w:val="0097136F"/>
    <w:rsid w:val="009A0C00"/>
    <w:rsid w:val="009A1007"/>
    <w:rsid w:val="009A7F8D"/>
    <w:rsid w:val="009D1AEF"/>
    <w:rsid w:val="00A81B4C"/>
    <w:rsid w:val="00A97367"/>
    <w:rsid w:val="00AB64EC"/>
    <w:rsid w:val="00AC0EB1"/>
    <w:rsid w:val="00AC1677"/>
    <w:rsid w:val="00AD1E49"/>
    <w:rsid w:val="00B02AF5"/>
    <w:rsid w:val="00B3539E"/>
    <w:rsid w:val="00B41E40"/>
    <w:rsid w:val="00B73689"/>
    <w:rsid w:val="00B80DB8"/>
    <w:rsid w:val="00B819C6"/>
    <w:rsid w:val="00B86EC4"/>
    <w:rsid w:val="00B9559C"/>
    <w:rsid w:val="00B97EF9"/>
    <w:rsid w:val="00BF6946"/>
    <w:rsid w:val="00BF7CF5"/>
    <w:rsid w:val="00C40334"/>
    <w:rsid w:val="00C75A57"/>
    <w:rsid w:val="00CB1866"/>
    <w:rsid w:val="00CB6309"/>
    <w:rsid w:val="00CF367B"/>
    <w:rsid w:val="00D95881"/>
    <w:rsid w:val="00DA081F"/>
    <w:rsid w:val="00DA1B23"/>
    <w:rsid w:val="00DC19E8"/>
    <w:rsid w:val="00DE0114"/>
    <w:rsid w:val="00E86448"/>
    <w:rsid w:val="00EA543D"/>
    <w:rsid w:val="00ED64D1"/>
    <w:rsid w:val="00ED7781"/>
    <w:rsid w:val="00F014E2"/>
    <w:rsid w:val="00F63CBA"/>
    <w:rsid w:val="00F82D7D"/>
    <w:rsid w:val="00FB7EF9"/>
    <w:rsid w:val="00FE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D1D1"/>
  <w15:chartTrackingRefBased/>
  <w15:docId w15:val="{22C14AE8-6E96-4556-83C0-BDEF4848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2A039B"/>
    <w:pPr>
      <w:numPr>
        <w:numId w:val="1"/>
      </w:numPr>
    </w:pPr>
  </w:style>
  <w:style w:type="character" w:styleId="Strong">
    <w:name w:val="Strong"/>
    <w:basedOn w:val="DefaultParagraphFont"/>
    <w:uiPriority w:val="22"/>
    <w:qFormat/>
    <w:rsid w:val="0040000F"/>
    <w:rPr>
      <w:b/>
      <w:bCs/>
    </w:rPr>
  </w:style>
  <w:style w:type="table" w:styleId="TableGrid">
    <w:name w:val="Table Grid"/>
    <w:basedOn w:val="TableNormal"/>
    <w:uiPriority w:val="39"/>
    <w:rsid w:val="00400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40000F"/>
    <w:pPr>
      <w:spacing w:after="0" w:line="240" w:lineRule="auto"/>
    </w:pPr>
    <w:rPr>
      <w:rFonts w:cs="Times New Roman"/>
      <w:sz w:val="24"/>
      <w:szCs w:val="32"/>
      <w:lang w:bidi="en-US"/>
    </w:rPr>
  </w:style>
  <w:style w:type="paragraph" w:customStyle="1" w:styleId="Default">
    <w:name w:val="Default"/>
    <w:rsid w:val="0040000F"/>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40000F"/>
    <w:pPr>
      <w:ind w:left="720"/>
      <w:contextualSpacing/>
    </w:pPr>
  </w:style>
  <w:style w:type="character" w:styleId="SubtleEmphasis">
    <w:name w:val="Subtle Emphasis"/>
    <w:basedOn w:val="DefaultParagraphFont"/>
    <w:uiPriority w:val="19"/>
    <w:qFormat/>
    <w:rsid w:val="008A699E"/>
    <w:rPr>
      <w:i/>
      <w:iCs/>
      <w:color w:val="404040" w:themeColor="text1" w:themeTint="BF"/>
    </w:rPr>
  </w:style>
  <w:style w:type="paragraph" w:styleId="Header">
    <w:name w:val="header"/>
    <w:basedOn w:val="Normal"/>
    <w:link w:val="HeaderChar"/>
    <w:uiPriority w:val="99"/>
    <w:unhideWhenUsed/>
    <w:rsid w:val="000A4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171"/>
  </w:style>
  <w:style w:type="paragraph" w:styleId="Footer">
    <w:name w:val="footer"/>
    <w:basedOn w:val="Normal"/>
    <w:link w:val="FooterChar"/>
    <w:uiPriority w:val="99"/>
    <w:unhideWhenUsed/>
    <w:rsid w:val="000A4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171"/>
  </w:style>
  <w:style w:type="paragraph" w:styleId="BalloonText">
    <w:name w:val="Balloon Text"/>
    <w:basedOn w:val="Normal"/>
    <w:link w:val="BalloonTextChar"/>
    <w:uiPriority w:val="99"/>
    <w:semiHidden/>
    <w:unhideWhenUsed/>
    <w:rsid w:val="00BF7C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CF5"/>
    <w:rPr>
      <w:rFonts w:ascii="Segoe UI" w:hAnsi="Segoe UI" w:cs="Segoe UI"/>
      <w:sz w:val="18"/>
      <w:szCs w:val="18"/>
    </w:rPr>
  </w:style>
  <w:style w:type="character" w:styleId="CommentReference">
    <w:name w:val="annotation reference"/>
    <w:basedOn w:val="DefaultParagraphFont"/>
    <w:uiPriority w:val="99"/>
    <w:semiHidden/>
    <w:unhideWhenUsed/>
    <w:rsid w:val="00494BA1"/>
    <w:rPr>
      <w:sz w:val="16"/>
      <w:szCs w:val="16"/>
    </w:rPr>
  </w:style>
  <w:style w:type="paragraph" w:styleId="CommentText">
    <w:name w:val="annotation text"/>
    <w:basedOn w:val="Normal"/>
    <w:link w:val="CommentTextChar"/>
    <w:uiPriority w:val="99"/>
    <w:unhideWhenUsed/>
    <w:rsid w:val="00494BA1"/>
    <w:pPr>
      <w:spacing w:line="240" w:lineRule="auto"/>
    </w:pPr>
    <w:rPr>
      <w:sz w:val="20"/>
      <w:szCs w:val="20"/>
    </w:rPr>
  </w:style>
  <w:style w:type="character" w:customStyle="1" w:styleId="CommentTextChar">
    <w:name w:val="Comment Text Char"/>
    <w:basedOn w:val="DefaultParagraphFont"/>
    <w:link w:val="CommentText"/>
    <w:uiPriority w:val="99"/>
    <w:rsid w:val="00494BA1"/>
    <w:rPr>
      <w:sz w:val="20"/>
      <w:szCs w:val="20"/>
    </w:rPr>
  </w:style>
  <w:style w:type="paragraph" w:styleId="CommentSubject">
    <w:name w:val="annotation subject"/>
    <w:basedOn w:val="CommentText"/>
    <w:next w:val="CommentText"/>
    <w:link w:val="CommentSubjectChar"/>
    <w:uiPriority w:val="99"/>
    <w:semiHidden/>
    <w:unhideWhenUsed/>
    <w:rsid w:val="00494BA1"/>
    <w:rPr>
      <w:b/>
      <w:bCs/>
    </w:rPr>
  </w:style>
  <w:style w:type="character" w:customStyle="1" w:styleId="CommentSubjectChar">
    <w:name w:val="Comment Subject Char"/>
    <w:basedOn w:val="CommentTextChar"/>
    <w:link w:val="CommentSubject"/>
    <w:uiPriority w:val="99"/>
    <w:semiHidden/>
    <w:rsid w:val="00494BA1"/>
    <w:rPr>
      <w:b/>
      <w:bCs/>
      <w:sz w:val="20"/>
      <w:szCs w:val="20"/>
    </w:rPr>
  </w:style>
  <w:style w:type="character" w:styleId="Hyperlink">
    <w:name w:val="Hyperlink"/>
    <w:basedOn w:val="DefaultParagraphFont"/>
    <w:uiPriority w:val="99"/>
    <w:unhideWhenUsed/>
    <w:rsid w:val="00B80DB8"/>
    <w:rPr>
      <w:color w:val="0563C1" w:themeColor="hyperlink"/>
      <w:u w:val="single"/>
    </w:rPr>
  </w:style>
  <w:style w:type="character" w:styleId="UnresolvedMention">
    <w:name w:val="Unresolved Mention"/>
    <w:basedOn w:val="DefaultParagraphFont"/>
    <w:uiPriority w:val="99"/>
    <w:semiHidden/>
    <w:unhideWhenUsed/>
    <w:rsid w:val="00135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561298">
      <w:bodyDiv w:val="1"/>
      <w:marLeft w:val="0"/>
      <w:marRight w:val="0"/>
      <w:marTop w:val="0"/>
      <w:marBottom w:val="0"/>
      <w:divBdr>
        <w:top w:val="none" w:sz="0" w:space="0" w:color="auto"/>
        <w:left w:val="none" w:sz="0" w:space="0" w:color="auto"/>
        <w:bottom w:val="none" w:sz="0" w:space="0" w:color="auto"/>
        <w:right w:val="none" w:sz="0" w:space="0" w:color="auto"/>
      </w:divBdr>
    </w:div>
    <w:div w:id="1587499079">
      <w:bodyDiv w:val="1"/>
      <w:marLeft w:val="0"/>
      <w:marRight w:val="0"/>
      <w:marTop w:val="0"/>
      <w:marBottom w:val="0"/>
      <w:divBdr>
        <w:top w:val="none" w:sz="0" w:space="0" w:color="auto"/>
        <w:left w:val="none" w:sz="0" w:space="0" w:color="auto"/>
        <w:bottom w:val="none" w:sz="0" w:space="0" w:color="auto"/>
        <w:right w:val="none" w:sz="0" w:space="0" w:color="auto"/>
      </w:divBdr>
    </w:div>
    <w:div w:id="213598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edicalhomeinfo.aap.org/tools-resources/Documents/NCMHI%20FEQIP%20Fact%20Sheet.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medicalhomeinfo.aap.org/tools-resources/Pages/QI-ImplementationGuide.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skits.org/sites/kskits.drupal.ku.edu/files/docs/KS_Family_Engagement_Standards_rev.pdf" TargetMode="External"/><Relationship Id="rId5" Type="http://schemas.openxmlformats.org/officeDocument/2006/relationships/footnotes" Target="footnotes.xml"/><Relationship Id="rId15" Type="http://schemas.openxmlformats.org/officeDocument/2006/relationships/hyperlink" Target="http://www.amchp.org/programsandtopics/family-engagement/SiteAssets/Pages/default/Family%20Engagement%20Levels%20of%20Family%20Engagement.pdf"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medicalhomeinfo.aap.org" TargetMode="External"/><Relationship Id="rId14" Type="http://schemas.openxmlformats.org/officeDocument/2006/relationships/hyperlink" Target="http://www.amchp.org/programsandtopics/family-engagement/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J. Satzler</dc:creator>
  <cp:keywords/>
  <dc:description/>
  <cp:lastModifiedBy>Connie J. Satzler</cp:lastModifiedBy>
  <cp:revision>3</cp:revision>
  <cp:lastPrinted>2018-07-24T14:10:00Z</cp:lastPrinted>
  <dcterms:created xsi:type="dcterms:W3CDTF">2019-07-26T11:14:00Z</dcterms:created>
  <dcterms:modified xsi:type="dcterms:W3CDTF">2019-07-26T11:23:00Z</dcterms:modified>
</cp:coreProperties>
</file>